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Senior Manager, Analytics and Insights profile with ~7 years producing performance metrics, automated reporting, and decision-ready insights for risk and governance stakeholders. At Moody's Analytics, holds delegated sign-off on analytical outputs for institutional portfolios ($5-25bn per engagement), re-engineered manual spreadsheet reporting into auditable Python analytics pipelines, and cut cycle time an estimated 30-40% via automated validation and anomaly-detection scaffolding. CFA charterholder with dual MSc degrees; regular presenter to executive and committee audiences.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Performance Metrics &amp; Executive Reporting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Executive Summaries &amp; Data Storytelling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Deep-Dive Quantitative Analysis &amp; Sensitivity Review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(pandas, NumPy, SciPy)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SQL (PostgreSQL)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Automated Data Pipelines &amp; Workflow Automation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Advanced Excel &amp; Visualization (Plotly, matplotlib)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Scenario Analysis &amp; Stress Testing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Quality Assurance, Governance &amp; Oversight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Issue Identification, Challenge &amp; Escalation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Stakeholder Management &amp; Cross-Functional Delivery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Agentic AI Workflows (Claude Code, Cursor) - automated validation scaffolding &amp; anomaly detection in code/analytics pipelines; Git / CI-CD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Reporting, Portfolio Insights &amp; Executive Communication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covering exposure, scenario impacts, and balance-sheet sensitivities - translating quantitative results into committee-ready narratives for executive and business-line audiences.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escalation point for client-critical analytical issues, interfacing directly with clients' Heads of Risk and investment stakeholders on findings requiring management attention.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Reviewed aggregation logic converting security-level detail into portfolio-level metrics, giving stakeholders both headline and more granular views of the same book.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Automated Reporting, Data Pipelines &amp; Analytics Tooling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analytics pipelines with embedded logging, validation, and auditability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anomaly detection, and documentation - reducing development cycle time an estimated 30-40% on comparable modules.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supporting base, stress, and reverse-stress scenarios, providing forward-looking visibility used in executive contingency planning.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Quality Assurance, Governance &amp; Oversight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Held delegated sign-off authority on valuation, sensitivity, and ALM outputs for institutional portfolios of $5-25bn per engagement (~$50bn+ cumulative), independently reviewing methodology and assumptions before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as a member of the model governance committee to methodology review, documentation and benchmarking standards, and performance assessment of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Challenged and escalated outputs that were mathematically consistent but economically indefensible, holding release until assumptions and methodology could be independently justified.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adopting the PFaroe DB (risk &amp; ALM analytics) and PFaroe PM (portfolio management) platforms.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Acted as technical liaison between client teams and product owners - scoping business requirements into development requests and validating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migrating all assigned client accounts from the legacy Calypso environment to PFaroe PM.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projects for Canadian and international insurance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governance documentation and regulatory-readiness processes while coordinating actuarial, finance, IT, risk, and program-management teams on milestone delivery and implementation materials.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analytical studies for Canadian and international pension funds - quantifying funding-ratio, duration-mismatch, and long-horizon exposures under base-case and stressed conditions.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scenario generators and performed risk decomposition and attribution (contribution-to-risk, risk budgeting) to isolate the drivers behind headline results.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and recommendations on-site to investment committees at pension-fund clients.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