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Risk governance and controls professional with ~7 years of experience, targeting RBC's Director, Operational Risk Governance (Global Security) role. Model governance committee member at Moody's Analytics holding delegated sign-off on analytics delivered to institutional portfolios of $5-25bn per engagement. Contributes to control framework documentation, benchmarking, and escalation standards within a formal governance framework; coordinates cross-functional regulatory transformation programs and stakeholder management across risk, product, and client functions; quantifies exposures through scenario and stress analysis. CFA charterholder with dual MSc degrees and applied familiarity with OSFI E-23 model-risk expectations and Basel Committee-aligned IRRBB standards.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Governance &amp; Control Framework Contribution (Documentation, Benchmarking, Methodology Review)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Review, Challenge &amp; Delegated Sign-Off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Risk Management (OSFI E-23 / SR 11-7 aligned)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Assessment, Quantification &amp; Prioritization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Analysis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Control Documentation &amp; Audit Readiness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Escalation, Remediation &amp; Stakeholder Management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Regulatory Readiness (OSFI-aligned; IFRS 17 / IFRS 9 transformation)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Program Delivery (Influence Without Direct Authority)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Executive &amp; Committee-Level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Process Automation &amp; AI-Assisted Anomaly Detection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 &amp; Advanced Excel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 Execution &amp; Independent Oversight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documentation and benchmarking standards, and model-performance assessment for analytics delivered to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for institutional portfolios of $5-25bn per engagement (~$50bn+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Operates within a formal model governance framework, validating assumptions and economic defensibility against documentation standards consistent with SR 11-7 and OSFI E-23 model risk expectations.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Risk Assessment, Scenario Analysis &amp; Monitoring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giving senior stakeholders forward-looking exposure visibility.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and balance-sheet exposure analytics (T+1 through multi-year), enabling funding-related risk exposures to be quantified, monitored, and escalated across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Oversees quantification of interest-rate and balance-sheet exposures under parallel and non-parallel shock scenarios, an approach analogous to Basel Committee IRRBB supervisory frameworks.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Process Control Design, Automation &amp; Audit Readiness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pipelines with embedded logging, validation, and auditability controls, shadow-running two cycles before cutover to satisfy governance audit requirements.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workflows (Claude Code, Cursor IDE) automating code generation, validation scaffolding, and anomaly detection, reducing development cycle time an estimated 30-40%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Escalation, Remediation &amp; Stakeholder Communication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Acts as escalation point for client-critical analytical issues, holding release of outputs lacking mathematical or economic defensibility and coordinating remediation with product owners and clients' Heads of Risk.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analytical summaries for senior stakeholders covering exposure, scenario impacts, and balance-sheet sensitivities, translating quantitative output into committee-ready narratives as part of ongoing stakeholder management with Heads of Risk and investment stakeholders.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(risk &amp; ALM) and PFaroe PM (portfolio management) platforms, acting as technical liaison between client stakeholders and product owners.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migration of all assigned client accounts from the legacy Calypso platform to PFaroe PM, validating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programs for Canadian and international insurers, translating regulatory requirements into system implementation and financial 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governance documentation and regulatory-readiness processes for financial institutions, advising actuarial, IT, finance, and program-management functions on standards adoption.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actuarial, finance, IT, risk, and project-management teams on milestone delivery and implementation materials across enterprise-wide programs, without formal authority over those teams.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Quantified funding-ratio, duration-mismatch, and long-horizon balance-sheet risk exposures through ALM studies for Canadian and international pension funds and institutional investors.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risk decomposition and attribution (contribution-to-risk, risk budgeting) alongside VaR and CVaR optimization on Ortec's GLASS platform to prioritize exposures and test the robustness of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Designed stochastic risk-management frameworks tailored to specific client mandates.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risk recommendations on-site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