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Liquidity and balance-sheet analytics professional with ~7 years of institutional client-facing and advisory experience, aligned to the Transaction Banking - VP, Trade Finance, Cash Management and Liquidity Solutions mandate at BNP Paribas. Designed a multi-scenario cash flow projection engine and time-bucketed liquidity gap analytics at Moody's Analytics; led onboarding and implementation for U.S. and Canadian institutional clients; delivered multi-currency hedging, funding, and asset allocation studies at Ortec Finance across Canadian and international mandates. CFA charterholder; dual MSc, Financial Modelling and Chemical Engineering.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Solutions &amp; Cash Flow Projection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Gap &amp; Funding Analysis (T+1 to Multi-Year)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Client Onboarding &amp; Implementation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Institutional Client Advisory &amp; Stakeholder Engagement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Client Requirements Translation &amp; Solution Configuration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Balance-Sheet &amp; Accounting Analysis (CFA Foundation; IFRS 9/17 Transformation Delivery)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Multi-Currency Hedging (FX, Inflation, Interest Rate)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Operational Controls, Documentation &amp; Governance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Liquidity Solutions &amp; Cash Flow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delivering forward-looking liquidity visibility across institutional balance-sheet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asset allocation decisions for client portfolios.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behavioural cash flow assumptions, prepayment logic, and macro stress overlays aligned with regulatory liquidity expectations and executive contingency planning.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Client Portfolio Reviews &amp; Senior Stakeholder Engagement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balance-sheet outputs delivered to multi-asset institutional clients, $5-25bn per engagement and ~$50bn+ cumulatively across the book of work.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as escalation point for client-critical analytical issues, interfacing directly with clients' Heads of Risk and investment stakeholders to resolve them under delivery deadlines.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periodic analytical reviews for senior stakeholders covering interest rate exposure, scenario impacts, and balance-sheet sensitivities, translating quantitative output into committee-ready narratives.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Multi-Currency Derivatives Validation &amp; Operational Controls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confirming consistency of sensitivities and scenario impacts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 to the model governance framework as a committee member, reviewing methodology, documentation and benchmarking standards, and escalating outputs lacking economic defensibility.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Client Onboarding, Implementation &amp; Requirements Translation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scoping complex client requirements into structured development requests and advising on asset, liability, and ALM configurations.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the legacy Calypso environment to the PFaroe PM platform,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accounting and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IFRS 17 advisory product offerings and go-to-market collateral, and coordinated actuarial, finance, IT, risk, and program-management teams on milestone delivery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balance-sheet studies for Canadian and international pension funds and institutional investors, analyzing funding ratios, duration mismatch, and long-term balance-sheet and liquidity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Strategic Asset Allocation and Tactical Asset Allocation trade-offs through stress testing and sensitivity analysis, including liability-driven investment work balancing return, duration, and liquidity objectives.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on-site to investment committees at Canadian pension-fund clients, converting technical results into decisions the committee could act 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merger, on a team of three developing and validating the model capturing all Funding Policy dynamics and evaluating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Languages: English (fluent), French (conversational)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