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17, 2026</w:t>
      </w:r>
    </w:p>
    <w:p>
      <w:r>
        <w:t>Re: VP Transaction Banking Liquidity Solutions — BNP Paribas</w:t>
      </w:r>
    </w:p>
    <w:p>
      <w:r>
        <w:t>At Moody's Analytics I lead the design of enterprise cash flow projection engines and time-bucketed liquidity gap analytics for multi-asset institutional clients, and I hold delegated sign-off authority on valuation, sensitivity, and balance-sheet outputs for portfolios of $5-25bn per engagement. I would like to be considered for the Transaction Banking - VP, Trade Finance, Cash Management and Liquidity Solutions role at BNP Paribas.</w:t>
      </w:r>
    </w:p>
    <w:p>
      <w:r>
        <w:t>My background sits at the analytical layer beneath the mandate you are hiring for. At Ortec Finance I ran ALM, funding, and liability-driven investment studies for Canadian and international institutional clients, sizing interest-rate, inflation, and currency hedging trade-offs and presenting recommendations on-site to investment committees. At Moody's I have led onboarding and implementation for U.S. and Canadian pension funds, asset managers, and consulting firms, translating client requirements into structured development requests and coordinating with product and delivery teams through go-live. I also sit on Moody's model governance committee, reviewing methodology and documentation standards and escalating outputs that lack economic defensibility - a discipline analogous to the permanent control framework this role operates within. At EY I delivered IFRS 17 and IFRS 9 transformation for insurers, which built my fluency in the accounting and financial-reporting mechanics underlying institutional balance sheets.</w:t>
      </w:r>
    </w:p>
    <w:p>
      <w:r>
        <w:t>What draws me to BNP Paribas is the MNC mandate: before any trade, cash management, or liquidity solution can be proposed to a multinational client, someone needs to read their balance sheet and size their liquidity and currency exposures cleanly - that is the analytical layer I already operate in daily. I say plainly that trade finance and supply-chain product mechanics, credit structuring, and origination would be new ground for me; the liquidity, hedging, and balance-sheet judgment underneath them would not. I hold the CFA charter, dual MSc degrees in Financial Modelling and Chemical Engineering, and conversational French.</w:t>
      </w:r>
    </w:p>
    <w:p>
      <w:r>
        <w:t>I am based in Toronto, available for interviews immediately, and can commit to a start approximately four weeks after offer acceptance.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