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Senior Manager, Analytics Insights candidate with ~7 years advising institutional clients on analytics-led transformation across Moody's Analytics, EY, and Ortec Finance. Holds delegated sign-off authority on analytical outputs for client portfolios of $5-25bn per engagement and sits on a model governance committee. Builds Python and SQL analytics pipelines, stochastic simulation and optimization models, and agentic AI delivery workflows that cut development cycle time an estimated 30-40%. CFA, dual MSc.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Analytics-Led Client Advisory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Analytical Quality Review &amp; Sign-Off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Executive &amp; Stakeholder Communication (Heads of Risk, Investment Committees)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(pandas, NumPy, SciPy)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SQL (PostgreSQL) &amp; R (working knowledge)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Statistical, Stochastic &amp; Monte Carlo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Optimization &amp; Scenario Simulation (VaR/CVaR)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Agentic AI &amp; Generative AI Delivery Workflows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Lifecycle Governance &amp; Validation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Data Visualization (Plotly, Excel)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Cross-Functional Alignment (Finance, Risk, IT, Actuarial)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Methodology Standards &amp; Peer Mentoring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Analytical Quality Assurance, Governance &amp; Standards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ALM analytics delivered to institutional client portfolios of $5-25bn per engagement (~$50bn+ cumulative), independently reviewing quantitative methodology, calibration, and cross-asset interactions before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Sits on the model governance committee, contributing to methodology review, documentation and benchmarking standards, and model-performance assessment across the lifecycle of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Acts as escalation point for client-critical analytical issues, interfacing with clients' Heads of Risk, and holds back outputs lacking mathematical or economic defensibility.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Analytics Solution Design &amp; Data Engineering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covering base, stress, and reverse-stress scenario simulation, giving clients forward-looking liquidity visibility.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gap analytics (T+1 through multi-year) enabling funding optimization, refinancing risk assessment, and asset-allocation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analytics pipelines with embedded logging, validation, and auditability controls.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AI-Enabled Delivery &amp; Executive Insight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using generative AI tooling (Claude Code, Cursor IDE) that automate code generation, validation scaffolding, anomaly detection, and documentation, reducing development cycle time an estimated 30-40% on comparable modules.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on interest-rate exposure, scenario impacts, and balance-sheet sensitivities, translating quantitative output into decision-ready narratives.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DB (risk &amp; ALM analytics) and PFaroe PM (portfolio management) platforms.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Translated ambiguous investment-team requirements into scoped Product Owner development requests as technical liaison, advising on configuration and validating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migrating all assigned client accounts from the legacy Calypso environment to PFaroe PM.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technology-transformation programs for Canadian and international insurance clients, aligning reporting requirements with system implementation.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actuarial, IT, finance, and program-management stakeholders on standard adoption and contributed to governance documentation and regulatory-readiness processes.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Developed IFRS 17 advisory product offerings and go-to-market collateral supporting practice growth, and coordinated cross-functional teams on milestone delivery.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and investment studies for Canadian and international pension funds and institutional investors, analysing funding ratios, duration mismatch, and long-term balance-sheet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quantifying interest-rate and funding-volatility risk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portfolio optimization on VaR and CVaR using Ortec's GLASS platform, with risk decomposition and near-optimal frontier analysis to test the robustness of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study findings and strategic asset-allocation recommendations on-site to investment committees at pension-fund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the ALM study for a three-plan university pension merger on a team of three, developing and validating the model capturing all Funding Policy dynamics.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