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17, 2026</w:t>
      </w:r>
    </w:p>
    <w:p>
      <w:r>
        <w:t>Re: Senior Manager Analytics Insights — Deloitte</w:t>
      </w:r>
    </w:p>
    <w:p>
      <w:r>
        <w:t>Dear Hiring Team,</w:t>
      </w:r>
    </w:p>
    <w:p>
      <w:r>
        <w:t>Between Ortec Finance's advisory practice and EY's financial-risk transformation team I spent just over three years delivering the analytics-led consulting work Deloitte's Analytic Insights team is built around; for the last four years at Moody's Analytics I have been the practitioner who quality-assures it, holding delegated sign-off authority on analytical outputs delivered to institutional client portfolios of $5-25bn per engagement. I would like to be considered for the Senior Manager, Analytics Insights role.</w:t>
      </w:r>
    </w:p>
    <w:p>
      <w:r>
        <w:t>My work sits exactly where this role sits: between ambiguous client problems and defensible analytics. At Ortec I built stochastic scenario generators, ran asset-only and surplus optimization on VaR and CVaR, decomposed risk contributions to test the robustness of recommendations, and presented the conclusions on-site to pension investment committees. At Moody's I led the design of a multi-scenario cash flow projection engine, re-engineered spreadsheet workflows into auditable Python pipelines, and sit on the model governance committee that sets methodology, documentation, and benchmarking standards. I have also deployed agentic and generative-AI development workflows (Claude Code, Cursor) that cut development cycle time an estimated 30-40% on comparable modules.</w:t>
      </w:r>
    </w:p>
    <w:p>
      <w:r>
        <w:t>What draws me to Analytic Insights specifically is the team's deliberate mix of deep technical depth and business judgment, and the mandate to embed AI-enabled delivery into client decision-making. Most enterprise AI programs stall at adoption because nobody owns the validation and documentation discipline behind them. That is the discipline I practise daily: I use agentic AI tools hands-on, and I also review, document, and escalate what they produce before it reaches a client. Combined with a consulting foundation at EY, where I helped build IFRS 17 advisory offerings and go-to-market collateral, I would bring both delivery credibility and a point of view on how analytics assets get productized and reused.</w:t>
      </w:r>
    </w:p>
    <w:p>
      <w:r>
        <w:t>I am Toronto-based, available for interviews immediately, and can start approximately four weeks after offer acceptance. My resume is attached and references, including former EY colleagues,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