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Associate Portfolio Manager, Public Credit candidate with ~7 years in institutional multi-asset portfolio analytics, portfolio construction, and fixed income. Delivered VaR/CVaR portfolio optimization, risk decomposition and attribution, and strategic asset allocation advice to pension and institutional investors at Ortec Finance; now holds delegated sign-off on valuation, sensitivity, and portfolio analytics for $5-25bn multi-asset mandates at Moody's Analytics. CFA charterholder and dual MSc; presents to investment committees and builds Python and AI-enabled analytics.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Portfolio Construction &amp; Strategic Asset Allocation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Multi-Asset Portfolio Analytics &amp; Oversight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Optimization (VaR / CVaR)</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Decomposition &amp; Attribution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Fixed Income &amp; Curve Analytics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Spread Calibration &amp; Cross-Asset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Stress Testing &amp; Scenario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Independent Review &amp; Analytical Challenge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Investment Committee Materials &amp; Reporting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Enterprise Platform Implementation &amp; Data Integration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AI-Enabled Analytics (Claude Code, Cursor IDE)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&amp; SQL Analytics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Portfolio Analytics, Oversight &amp; Independent Review</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portfolio analytics delivered to multi-asset institutional portfolios of $5-25bn per engagement (~$50bn+ cumulative), independently reviewing curve construction, spread calibration, and cross-asset interactions before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Validate derivatives pricing outputs across rates, FX, and inflation, confirming consistency of sensitivities and scenario impacts at portfolio-level aggregates.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aggregation logic converting security-level exposures into portfolio-level risk metrics feeding downstream investment and capital processes.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escalation point for client-critical analytical issues, interfacing directly with clients' Heads of Risk and investment stakeholders; member of the model governance committee covering methodology review, documentation standards, and model-performance assessment.</w:t>
      </w:r>
    </w:p>
    <w:p>
      <w:pPr>
        <w:keepNext/>
        <w:spacing w:before="60" w:after="20" w:line="240" w:lineRule="auto"/>
      </w:pPr>
      <w:r>
        <w:rPr>
          <w:rFonts w:ascii="Avenir Next LT Pro" w:hAnsi="Avenir Next LT Pro" w:cs="Avenir Next LT Pro"/>
          <w:b/>
          <w:i w:val="0"/>
          <w:color w:val="1A1A1A"/>
          <w:sz w:val="21"/>
        </w:rPr>
        <w:t>Scenario Analysis, Liquidity Modelling &amp; Stakeholder Reporting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 flow projection engine supporting base, stress, and reverse-stress scenario analysis across full investment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analytics (T+1 through multi-year) supporting funding, refinancing, and asset-allocation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 analytical summaries for senior stakeholders on interest-rate exposure, scenario impacts, and balance-sheet sensitivities, translating quantitative output into committee-ready narratives.</w:t>
      </w:r>
    </w:p>
    <w:p>
      <w:pPr>
        <w:keepNext/>
        <w:spacing w:before="60" w:after="20" w:line="240" w:lineRule="auto"/>
      </w:pPr>
      <w:r>
        <w:rPr>
          <w:rFonts w:ascii="Avenir Next LT Pro" w:hAnsi="Avenir Next LT Pro" w:cs="Avenir Next LT Pro"/>
          <w:b/>
          <w:i w:val="0"/>
          <w:color w:val="1A1A1A"/>
          <w:sz w:val="21"/>
        </w:rPr>
        <w:t>Investment Systems, Data Quality &amp; Advanced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code generation, validation scaffolding, anomaly detection, and documentation, cutting development cycle time an estimated 30-40% on comparable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analytics pipelines with embedded logging, validation, and auditability controls, supporting improved data quality and repeatability of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 analytics on PFaroe DB (risk &amp; ALM) and PFaroe PM (portfolio management), partnering with product and development teams on capability enhancements.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PFaroe DB and PFaroe PM, advising on asset, liability, and portfolio configurations and validating model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Acted as technical liaison between client investment teams and product owners, scoping requirements into development requests; contributed to migrating all assigned accounts off the legacy Calypso platform.</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Canadian and international insurance clients, aligning reporting requirements with system implementation frameworks.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across actuarial, finance, IT, risk, and program-management teams on milestone delivery, governance documentation, and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contribution-to-risk budgeting, and near-optimal frontier analysis to test the robustness of allocation recommendations.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Canadian and international institutional investors on Strategic Asset Allocation and Tactical Asset Allocation trade-offs through stress testing and sensitivity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assessing interest-rate risk and funding volatility under base-case and stressed environments.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Conducted liability-driven investment (LDI) analysis covering return objectives, duration alignment, and liquidity trade-offs for pension-fund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study findings on-site to investment committees at Canadian pension-fund clients and designed stochastic risk-management frameworks for specific mandates.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a three-plan university pension merger on a team of three, developing and validating the model capturing all funding-policy dynamics and evaluating duration, currency, inflation, and leverage overlay strategies.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