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17, 2026</w:t>
      </w:r>
    </w:p>
    <w:p>
      <w:r>
        <w:t>Re: Associate Portfolio Manager, Public Credit — IMCO</w:t>
      </w:r>
    </w:p>
    <w:p>
      <w:r>
        <w:t>Dear Hiring Team,</w:t>
      </w:r>
    </w:p>
    <w:p>
      <w:r>
        <w:t>For the past four years at Moody's Analytics I have held delegated sign-off on the valuation, sensitivity, and portfolio analytics delivered to multi-asset institutional portfolios of $5-25bn per engagement — independently reviewing curve construction, spread calibration, and cross-asset interactions before anything reaches an investment stakeholder. That discipline of independent challenge is analogous to the oversight an externally managed book demands, and it is why I am applying for the Associate Portfolio Manager, Public Credit role on IMCO's Global Credit team.</w:t>
      </w:r>
    </w:p>
    <w:p>
      <w:r>
        <w:t>My portfolio-construction background started at Ortec Finance, where I ran asset-only and asset-liability (surplus) optimization on VaR and CVaR using the GLASS platform, decomposed risk into contribution-to-risk budgets, and stress-tested allocation recommendations against near-optimal frontiers. I advised institutional investors on strategic and tactical asset allocation trade-offs, built stochastic scenario generators for interest-rate and funding-volatility outcomes, and presented findings on-site to pension investment committees. At Moody's I extended that into multi-scenario cash-flow projection and portfolio-level stress analytics, and I write the summaries senior stakeholders actually read. On the platform side, I led client migrations from a legacy Calypso environment onto Moody's PFaroe DB and PFaroe PM, rebuilt spreadsheet processes into auditable Python pipelines, and have since built agentic AI workflows in Claude Code and Cursor for code generation, anomaly detection, and documentation — directly relevant to the AI-enabled analytics and investment-systems agenda in this role.</w:t>
      </w:r>
    </w:p>
    <w:p>
      <w:r>
        <w:t>My depth to date sits on the analytics, construction, and independent-oversight side of institutional portfolios rather than on direct due diligence and selection of external public credit managers; the specific market lens — investment grade, high yield, leveraged loans, structured credit — is what I would be building quickly in this seat, on top of the CFA charter, dual MSc, and quantitative and platform foundation above. I am Toronto-based, available to interview immediately, and can start approximately four weeks after an offer.</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