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Manager, Finance Data Analytics &amp; Insights candidate with ~7 years across pension and institutional investment analysis, valuation, risk, and reporting-transformation work. CFA charterholder holding delegated sign-off on valuation and sensitivity outputs for institutional portfolios of $5-25bn per engagement, who re-engineered manual spreadsheet workflows into auditable Python analytics pipelines and translated institutional clients' investment requirements (including pension funds) into scoped platform solutions. Earlier delivered IFRS 17 and IFRS 9 reporting-transformation work at EY and pension ALM and LDI studies at Ortec Finance.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Investment Analysis &amp; Portfolio Risk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Regulatory &amp; Financial Reporting Transformation (IFRS 17 / IFRS 9)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Management &amp; Investment-Committee Reporting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Analytical Tool Development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Workflow &amp; Analytics Automation (Python, Excel)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SQL (PostgreSQL) for Data Extraction &amp;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- pandas, NumPy, SciPy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 &amp; MATLAB (Intermediate, historical use)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Data Visualization (Plotly, matplotlib, Excel)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Valuation, Sensitivity &amp; Scenario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Pension ALM, Funding Ratio &amp; LDI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Cross-Functional Delivery &amp; Requirements Scoping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Governance &amp; Documentation Standards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Valuation, Risk &amp; Portfolio Analytics for Institutional Clients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on valuation, sensitivity, and ALM outputs delivered to institutional client portfolios of $5-25bn per engagement (~$50bn+ cumulative), independently reviewing curve construction, spread calibration, and cross-asset interactions before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 aggregation logic converting security-level exposures into portfolio-level risk metrics that feed downstream ALM, capital, and reporting processes for institutional and pension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 analytical summaries and management reporting for senior stakeholders on interest-rate exposure, scenario impacts, and portfolio sensitivities, translating quantitative output into investment-committee-ready narratives.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Analytical Tool Development &amp; Process Automation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 Python analytics pipelines with embedded logging, validation, and auditability controls.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stress, and reverse-stress scenarios across multi-year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automating code generation, validation scaffolding, anomaly detection, and documentation, reducing development cycle time an estimated 30-40% on comparable modules.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Governance, Documentation &amp; Stakeholder Partnership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 on the model governance committee, participating in methodology review, documentation and benchmarking standards, and model-performance assessment for client-delivered analytics.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Act as escalation point for client-critical analytical issues, interfacing directly with clients' Heads of Risk and investment stakeholders, and escalating outputs lacking economic defensibility.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adopting PFaroe DB (risk &amp; ALM analytics) and PFaroe PM (portfolio management).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Translated investment-team requirements into scoped Product Owner requests for development, advised on asset, liability, and ALM configuration, and validated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Contributed to the migration of all assigned client accounts from the legacy Calypso platform to PFaroe PM without loss of reporting continuity.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IFRS &amp; Financial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clients, aligning regulatory requirements with system implementation and financial 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cross-functional actuarial, finance, IT, risk, and program-management teams on milestone delivery, governance documentation, and regulatory-readiness materials.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for Canadian and international pension funds and institutional investors, analyzing funding ratios, duration mismatch, and long-term balance-sheet risk exposures.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on VaR and CVaR using Ortec's GLASS platform, with risk decomposition and attribution (contribution-to-risk, risk budgeting) and near-optimal frontier analysis to test allocation robustness.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assessing interest-rate risk and funding volatility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Modelled pension-fund actuarial liabilities alongside all major investment-product types and economic variables, and conducted LDI analysis on duration alignment, return objectives, and liquidity.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the ALM study for a three-plan university pension merger, on a team of three developing and validating the model capturing all Funding Policy dynamics, duration, currency, inflation, and leverage overlays.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study findings and allocation recommendations to investment committees at Canadian pension-fund clients on-site.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