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Portfolio analytics and asset-allocation specialist with ~7 years of institutional experience, applying for Senior Manager, Capital Planning, Research and Portfolio Analytics. Holds delegated sign-off authority on valuation, sensitivity, and portfolio risk outputs for multi-asset institutional portfolios of $5-25bn per engagement at Moody's Analytics. Advised pension funds on strategic and tactical asset allocation, delivered VaR/CVaR optimization, risk decomposition, and leverage-overlay and hedging analysis at Ortec Finance, presenting findings directly to investment committees. CFA charterholder, dual MSc, advanced Excel and Python.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Allocation Advisory (SAA / TAA)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Risk Analytics (VaR / 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Advanced Financial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Leverage-Overlay, Liquidity &amp; Cash-Flow Projection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Macroeconomic Scenario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Committee &amp; Executive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· SQL · Advanced Excel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Risk Analytics &amp; Stakeholder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portfolio analytics delivered to multi-asset institutional portfolios of $5-25bn per engagement (~$50bn+ cumulative), independently reviewing curve construction, spread calibration, and cross-asset interactions before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aggregation logic converting security-level exposures into portfolio-level risk metrics feeding downstream balance-sheet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for senior stakeholders on scenario impacts, interest-rate exposure, and balance-sheet sensitivities, translating quantitative output into investment committee-ready narratives.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Scenario Analysis &amp; Liquidity Planning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delivering forward-looking liquidity visibility across multi-year planning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asset 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Oversees duration and interest-rate sensitivity analysis under parallel and non-parallel rate shocks, and embeds behavioural cash flow assumptions and macro stress overlays into projection scenarios.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Stakeholder Partnership &amp;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Acts as escalation point for client-critical analytical issues, interfacing directly with clients' Heads of Risk and investment stakeholders; re-engineered manual spreadsheet workflows into auditable Python analytics pipelines.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scoping requirements into development requests and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reporting requirements with system implementation and governance documentation.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Canadian and international pension funds and institutional investors on Strategic and Tactical Asset Allocation to meet long-term return and risk objectives, using stress testing and sensitivity analysis to navigate allocation risk.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contribution-to-risk budgeting,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macroeconomic, interest-rate, and funding-volatility exposure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ALM study for a three-plan university pension merger on a team of three, evaluating duration, currency, inflation, and leverage overlay strategies while validating all funding-policy dynamics.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on-site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Languages: English (fluent) · French (conversational)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