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17, 2026</w:t>
      </w:r>
    </w:p>
    <w:p>
      <w:r>
        <w:t>Re: Senior Manager, Capital Planning, Research and Portfolio Analytics — PSP Investments</w:t>
      </w:r>
    </w:p>
    <w:p>
      <w:r>
        <w:t>Dear Hiring Team,</w:t>
      </w:r>
    </w:p>
    <w:p>
      <w:r>
        <w:t>At Ortec Finance I advised Canadian and international pension funds on strategic and tactical asset allocation, presenting VaR/CVaR-based optimization, risk decomposition, and scenario analysis directly to investment committees. I would like to be considered for the Senior Manager, Capital Planning, Research and Portfolio Analytics role supporting PSP's Real Estate Group.</w:t>
      </w:r>
    </w:p>
    <w:p>
      <w:r>
        <w:t>The portfolio-analytics and stakeholder-reporting core of this mandate maps closely onto my practitioner background. At Ortec I built and interpreted stochastic economic scenario generators to assess macroeconomic and interest-rate exposure, ran asset-only and surplus portfolio optimization with contribution-to-risk budgeting and near-optimal frontier testing, and led the ALM study for a three-plan pension merger evaluating duration, currency, and leverage-overlay strategies. At Moody's Analytics I currently hold delegated sign-off authority on valuation, sensitivity, and portfolio-risk outputs for institutional portfolios of $5-25bn per engagement, have designed a multi-scenario cash-flow and liquidity-gap projection engine, and prepare scenario-impact summaries for senior stakeholders - the same connective work between quantitative output and investment-committee-ready narrative that a capital planning and benchmarking mandate depends on.</w:t>
      </w:r>
    </w:p>
    <w:p>
      <w:r>
        <w:t>I should be direct about the boundary of my experience: I have not worked inside real estate capital planning, deal underwriting, or covenant administration, and my French is currently conversational rather than business-fluent - both are gaps I would close quickly given the adjacency of my analytics background (asset allocation, scenario and stress testing, VaR/CVaR, liquidity and leverage-overlay analytics) and active work on French proficiency. What I bring immediately is the analytical discipline that sits underneath capital planning decisions regardless of asset class: macro-aware scenario modelling, risk decomposition, and clear synthesis for senior and investment-committee audiences. I am Toronto-based, available for interviews immediately, and glad to discuss the role further. References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