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Financial risk and model-governance specialist targeting the Financial Risk Audit Manager, Vice President mandate at State Street, bringing ~7 years of independent review, effective challenge, and governance oversight across interest rate, liquidity, and market risk from the model-governance and practitioner side of institutional risk analytics. Holds delegated sign-off authority on valuation, sensitivity, and ALM outputs for institutional portfolios of $5-25bn per engagement ($50bn+ cumulative), sits on a model governance committee, and escalates outputs lacking economic defensibility. CFA charterholder; dual MSc (Financial Modelling,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Review &amp; Effective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(EVE &amp; NII Sensitivity)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Risk &amp; Cash-Flow Projection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Market Risk Analytics (VaR / CVaR - Portfolio-Level)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Governance &amp; Delegated Sign-Off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Curve Construction &amp; Spread Calibration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Issue Escalation &amp; Exception Handling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 Stakeholder &amp; Committee Engagement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Control &amp; Governance Documentation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Mentorship &amp; Junior Team Development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Review, Challenge &amp; Sign-Off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for institutional portfolios of $5-25bn per engagement ($50bn+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on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 and act as escalation point for client-critical analytical issues, engaging directly with clients' Heads of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confirming consistency of sensitivities and scenario impacts at portfolio-level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Interest Rate &amp; Liquidity Risk Measurement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 rate risk and duration analysis under parallel and non-parallel rate shocks, aligned with Basel-style IRRBB measurement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supporting funding optimization and refinancing risk assessment.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feeding downstream ALM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Documentation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framework, building documentation and validation standards consistent with SR 11-7-style and OSFI E-23 regulatory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stakeholders on interest rate exposure, scenario impacts, and balance-sheet sensitivities, translating technical results into 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pipelines with embedded logging, validation, and auditability controls.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on the PFaroe DB (risk &amp; ALM) and PFaroe PM platforms,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translating risk and ALM configuration requirements into structured development requests.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insurers,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 for financial institutions, advising actuarial, finance, IT, and risk functions on standard adoption.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attribution to test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 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 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stress-testing conclusions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