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Manager, Corporate Treasury Performance Management, ALM candidate bringing ~7 years across asset-liability management, interest rate risk, and executive balance-sheet reporting. Holds delegated sign-off authority at Moody's Analytics on valuation, sensitivity, and ALM outputs for institutional portfolios of $5-25bn per engagement, reviewing rate-shock sensitivities and hedge-output consistency before release. Led design of a multi-scenario cash-flow and balance-sheet projection engine spanning base, stress, and reverse-stress paths, and prepares interest-rate exposure and balance-sheet sensitivity analysis for senior stakeholders. CFA charterholder with dual MSc degrees.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Asset-Liability Management (ALM)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Interest Rate Risk Management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Hedging Analysis - Interest Rate, Inflation, Currency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Balance-Sheet &amp; Cash-Flow Forecasting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Scenario Analysis &amp; Stress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Duration Gap &amp; Repricing Mismatch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Management Reporting &amp; Decision Support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Excel Financial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Process Automation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Interest Rate Risk &amp; Hedging Analysis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ALM outputs for multi-asset institutional portfolios of $5-25bn per engagement (~$50bn+ cumulative), independently reviewing curve construction, spread calibration, and cross-asset interactions prior to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Oversees interest rate risk and duration analysis under parallel and non-parallel rate shocks, aligned with IRRBB-style standards analogous to OSFI B-12 and Basel Committee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Validates derivatives pricing outputs across rates, FX, and inflation, confirming consistency of hedging sensitivities and scenario impacts at portfolio-level ALM aggregates.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Balance Sheet Projection, Forecasting &amp; Decision Support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scenarios, delivering forward-looking balance sheet and liquidity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gap analytics (T+1 through multi-year) enabling funding optimization, refinancing risk assessment,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behavioural cash-flow assumptions, prepayment logic, and macro stress overlays into projection scenarios, and reviewed aggregation logic converting security-level exposures into portfolio-level metrics feeding downstream ALM processes.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Stakeholder Reporting, Governance &amp; Process Streamlining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Prepares analytical summaries for senior stakeholders and clients' Heads of Risk covering interest rate exposure, scenario impacts, and balance sheet sensitivities, translating quantitative output into committee-ready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controls; serves on the model governance committee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documentation, cutting development cycle time an estimated 30-40% on comparable modules.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for U.S. and Canadian pension funds, asset managers, and consulting firms onto PFaroe DB (risk &amp; ALM analytics) and PFaroe PM, advising on asset, liability, and ALM configurations and validating model outputs post-deployment.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accounting requirements with system implementation and financial 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actuarial, finance, IT, risk, and program-management teams on milestone delivery, governance documentation,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investors, analyzing funding ratios, duration mismatch, and long-term balance 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 flow, liquidity, and hedging analysis across interest rate, inflation, and currency risk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 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ALM study findings and strategic asset allocation recommendations on-site to investment committees at Canadian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