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19, 2026</w:t>
      </w:r>
    </w:p>
    <w:p>
      <w:r>
        <w:t>Re: Senior Manager Corporate Treasury Performance Management ALM — RBC</w:t>
      </w:r>
    </w:p>
    <w:p>
      <w:r>
        <w:t>Dear Hiring Team,</w:t>
      </w:r>
    </w:p>
    <w:p>
      <w:r>
        <w:t>I currently hold delegated sign-off authority on valuation, sensitivity, and ALM outputs for multi-asset institutional portfolios at Moody's Analytics — reviewing interest rate exposure, hedge sensitivities, and balance sheet analytics of $5-25bn per engagement before they reach clients' Heads of Risk. That is the same discipline — translating balance-sheet and rate exposure into decision-ready analysis for senior stakeholders — that RBC's Corporate Treasury Performance Management team performs daily, and it is why I am applying for the Senior Manager, Corporate Treasury Performance Management, ALM role.</w:t>
      </w:r>
    </w:p>
    <w:p>
      <w:r>
        <w:t>Over ~7 years the work has been consistently at the junction of balance-sheet flows, interest rate exposure, and how both get explained upward. At Moody's I led the design of a multi-scenario cash-flow projection engine covering base, stress, and reverse-stress paths, architected time-bucketed gap analytics from T+1 to multi-year, embedded behavioural cash-flow and prepayment assumptions, and oversee duration analysis under parallel and non-parallel rate shocks. That analytical work becomes recurring stakeholder summaries on rate exposure, scenario impacts, and balance sheet sensitivities. At Ortec Finance I ran ALM studies and interest rate, inflation, and currency hedging analysis, presenting results directly to investment committees. At EY I delivered IFRS 17 and IFRS 9 transformation work, coordinating finance, actuarial, and IT functions — a similar rhythm of cross-functional coordination to what this role requires across Financial Control, Product Control, and Hedge Accounting.</w:t>
      </w:r>
    </w:p>
    <w:p>
      <w:r>
        <w:t>What draws me to this mandate is that it is reporting with real analytical teeth: understanding how Personal and Commercial Banking balance sheet flows create the exposure Corporate Treasury hedges, then making that legible to VPs and Managing Directors through the plan and five-year outlook. Management Funds Transfer Pricing at RBC's scale is the piece I would be building fluency in with the FTP Centre of Excellence; the curve construction and spread calibration review I do daily is the machinery underneath it. I would also bring a bias toward streamlining — I have replaced manual spreadsheet workflows with auditable Python pipelines.</w:t>
      </w:r>
    </w:p>
    <w:p>
      <w:r>
        <w:t>I am Toronto-based, available to interview immediately, and can start approximately four weeks after offer acceptance.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