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Senior Manager, Investment Oversight candidate bringing ~7 years across institutional investment analytics, portfolio risk attribution, and independent review of multi-asset mandates. Holds delegated sign-off authority at Moody's Analytics on valuation, sensitivity, and portfolio outputs for mandates of $5-25bn per engagement, and contributes to methodology and documentation standards as a member of the model governance committee. Delivered VaR/CVaR optimization, asset allocation and LDI analysis at Ortec Finance, presenting findings to pension investment committees. CFA charterholder;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Oversight &amp; Independent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Multi-Asset Portfolio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Risk Decomposition &amp; Contribution-to-Risk Attribution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VaR / CVaR Portfolio Optimization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Strategic &amp; Tactical Asset Allocation (SAA/TAA)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Committee &amp; Senior-Stakeholder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Governance &amp; Sign-Off Authority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SQL &amp; Advanced Excel Analytics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 (Investment &amp; ALM Risk Lead)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Investment Oversight &amp; Independent Review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portfolio outputs delivered to multi-asset institutional mandates of $5-25bn per engagement (~$50bn+ cumulative), independently reviewing curve construction, spread calibration, and cross-asset interactions before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 on the model governance committee, contributing to methodology review, documentation and benchmarking standards, and model-performance assessment for client-delivered investment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 outputs lacking mathematical or economic defensibility and act as escalation point for client-critical analytical issues with clients' Heads of Risk and investment stakeholders.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Valuation, Sensitivity &amp; Portfolio Risk Analysis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across rates, FX, and inflation, cross-checking sensitivity consistency at portfolio-level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aggregation logic converting security-level exposures into portfolio-level risk metrics that feed downstream reporting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 interest-rate and duration analysis under parallel and non-parallel rate shocks across multi-asset portfolios, quantifying sensitivity of positions to curve movements.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Committee Reporting &amp; Analytics Delivery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 analytical summaries for senior stakeholders on rate exposure, scenario impacts, and balance-sheet sensitivities, translating quantitative output into investment-committee-ready narratives.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scenarios, with configurable time-bucketed gap analytics from T+1 to multi-year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auditable Python analytics pipelines with embedded logging and validation, and built agentic AI workflows (Claude Code, Cursor) cutting development cycle time an estimated 30-40%.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DB (risk &amp; ALM analytics) and PFaroe PM (portfolio management) platforms.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technical liaison between client investment teams and product owners, advising on asset, liability, and portfolio configurations, validating model outputs post-deployment, and migrating all assigned accounts off the legacy Calypso platform.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finance, IT, and program-management functions and contributed to governance documentation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 and attribution, contribution-to-risk budgeting, and near-optimal frontier analysis to test the robustness of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Canadian and international pension funds and institutional investors on Strategic Asset Allocation (SAA) and Tactical Asset Allocation (TAA) trade-offs through stress testing and sensitivity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investment analysis and study findings on-site to investment committees at Canadian pension-fund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 analysis covering trade-offs between return objectives, duration alignment, and liquidity, alongside inflation and currency hedging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study for a three-plan university pension merger on a team of three, developing and validating the model capturing Funding Policy dynamics and evaluating duration, currency, inflation, and leverage overlay strategies.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