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19, 2026</w:t>
      </w:r>
    </w:p>
    <w:p>
      <w:r>
        <w:t>Re: Senior Manager Investment Oversight — Scotiabank</w:t>
      </w:r>
    </w:p>
    <w:p>
      <w:r>
        <w:t>Independent oversight of multi-asset investment mandates is what I do daily. At Moody's Analytics I hold delegated sign-off authority on the valuation, sensitivity, and portfolio outputs delivered to institutional mandates of $5-25bn per engagement, and I contribute to methodology, documentation, and model-performance standards as a member of the model governance committee. That review discipline is the core of the Senior Manager, Investment Oversight mandate for 1832 Asset Management's product shelf, and I would like to be considered for the role.</w:t>
      </w:r>
    </w:p>
    <w:p>
      <w:r>
        <w:t>Before Moody's I spent two and a half years at Ortec Finance as the analyst behind investment studies for Canadian and international pension funds and institutional investors: asset-only and surplus optimization on VaR and CVaR using Ortec's GLASS platform, risk decomposition and contribution-to-risk budgeting, SAA and TAA trade-offs stress-tested under stochastic scenarios, and LDI analysis. I presented those analyses on-site to investment committees, fielding questions on methodology and assumptions. At Moody's I have extended that into valuation and sensitivity review, validating derivatives pricing outputs across rates, FX, and inflation, reviewing aggregation from security level to portfolio-level metrics, and holding releases where results were mathematically defensible but economically unsupported. Periodic analysis packs and committee-ready narratives are the routine output of that work.</w:t>
      </w:r>
    </w:p>
    <w:p>
      <w:r>
        <w:t>What draws me to this seat is its breadth: Canadian and international asset management under one oversight mandate, with direct accountability to senior management, the Investment Committee, and the Independent Review Committee. My oversight background is institutional and pension-led rather than retail fund, so the fund-specific and portfolio-advisor due-diligence layer is where I would ramp; the analytical review and committee-reporting muscle transfers directly, and I build my own reporting analytics in Python and Excel. I hold the CFA charter and dual MSc degrees in Financial Modelling and Chemical Engineering.</w:t>
      </w:r>
    </w:p>
    <w:p>
      <w:r>
        <w:t>I am Toronto-based, available for interviews immediately, and can start approximately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