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Candidate for Aladdin Client Engagement, Front Office Relationship Manager, Vice President with ~7 years in financial services bridging institutional investment teams and enterprise portfolio and risk platforms. Four years at Moody's Analytics onboarding pension funds, asset managers, and consulting firms onto the PFaroe platform, leading a full Calypso migration and translating client requirements into product owner requests. Hands-on portfolio optimization, risk decomposition, and multi-asset analytics from Ortec Finance. CFA, dual MSc, Python and SQL.</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Client Relationship Management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Management Workflows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Optimization (VaR / CVaR)</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Decomposition &amp; Attribution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Multi-Asset Portfolio Analytics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Enterprise Platform Implementation &amp; Migration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Client Requirements Scoping for Product Owners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Stress Testing &amp; Scenario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Senior Stakeholder &amp; Investment-Committee Presentation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Derivatives, Fixed Income &amp; Rates Analytics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(pandas, NumPy, SciPy)</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SQL (PostgreSQL)</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Client Partnership &amp; Senior Stakeholder Advisory</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Served as escalation point for client-critical analytical issues, partnering directly with clients' Heads of Risk and investment stakeholders to resolve portfolio-level questions under delivery deadlines.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Translated quantitative outputs into investment-committee-ready narratives, preparing analytical summaries for senior stakeholders on portfolio exposure, scenario impacts, and balance-sheet sensitivities.</w:t>
      </w:r>
    </w:p>
    <w:p>
      <w:pPr>
        <w:keepNext/>
        <w:spacing w:before="60" w:after="20" w:line="240" w:lineRule="auto"/>
      </w:pPr>
      <w:r>
        <w:rPr>
          <w:rFonts w:ascii="Avenir Next LT Pro" w:hAnsi="Avenir Next LT Pro" w:cs="Avenir Next LT Pro"/>
          <w:b/>
          <w:i w:val="0"/>
          <w:color w:val="1A1A1A"/>
          <w:sz w:val="21"/>
        </w:rPr>
        <w:t>Portfolio Analytics, Risk &amp; Reporting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Held delegated sign-off authority on valuation, sensitivity, and portfolio risk outputs delivered to multi-asset institutional client portfolios of $5-25bn per engagement (~$50bn+ cumulative), independently reviewing curve construction, spread calibration, and cross-asset interactions prior to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Validated derivatives pricing outputs across rates, FX, and inflation, confirming consistency of sensitivities and scenario impacts at portfolio-level aggregates.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Oversaw duration and interest-rate sensitivity analysis under parallel and non-parallel rate shocks across client mandates, supporting asset-liability and funding decisions.</w:t>
      </w:r>
    </w:p>
    <w:p>
      <w:pPr>
        <w:keepNext/>
        <w:spacing w:before="60" w:after="20" w:line="240" w:lineRule="auto"/>
      </w:pPr>
      <w:r>
        <w:rPr>
          <w:rFonts w:ascii="Avenir Next LT Pro" w:hAnsi="Avenir Next LT Pro" w:cs="Avenir Next LT Pro"/>
          <w:b/>
          <w:i w:val="0"/>
          <w:color w:val="1A1A1A"/>
          <w:sz w:val="21"/>
        </w:rPr>
        <w:t>Product Feedback, Platform Delivery &amp; Automation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analytics pipelines with embedded logging, validation, and auditability controls.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code generation, validation scaffolding, and anomaly detection, reducing development cycle time an estimated 30-40% on comparable modules.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 acting as technical liaison between client investment teams and product owners.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Migrated all assigned client accounts from a legacy Calypso environment to the PFaroe PM portfolio management platform, validating model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Scoped client investment-team requirements into structured development requests for product owners and advised clients on asset, liability, and portfolio configurations.</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technology-transformation projects for Canadian and international insurance clients, aligning regulatory requirements with system implementation.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across actuarial, finance, IT, risk, and program-management teams on milestone delivery and client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and near-optimal frontier analysis to test the robustness of allocation recommendations.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institutional clients on Strategic Asset Allocation (SAA) and Tactical Asset Allocation (TAA) trade-offs through stress testing and sensitivity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study findings on-site to investment committees at Canadian pension-fund clients, converting stochastic output into 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assessing interest-rate risk and funding volatility under base-case and stressed environments.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Conducted liability-driven investment (LDI) analysis across duration alignment, return objectives, and liquidity for pension funds and institutional investors.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