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20, 2026</w:t>
      </w:r>
    </w:p>
    <w:p>
      <w:r>
        <w:t>Re: Aladdin Client Engagement FO Relationship Manager VP — BlackRock</w:t>
      </w:r>
    </w:p>
    <w:p>
      <w:r>
        <w:t>Dear Hiring Team,</w:t>
      </w:r>
    </w:p>
    <w:p>
      <w:r>
        <w:t>For four years at Moody's Analytics I have onboarded, configured, and validated the multi-asset portfolio and risk platform that competes most directly with Aladdin — and before that I sat on the client's side of the table as an ALM and portfolio consultant to pension funds and institutional investors. I would like to be considered for the Aladdin Client Engagement, Front Office Relationship Manager, Vice President role.</w:t>
      </w:r>
    </w:p>
    <w:p>
      <w:r>
        <w:t>At the client-facing layer, I led onboarding and implementation for U.S. and Canadian pension funds, asset managers, and consulting firms moving onto PFaroe, migrated every assigned account off a legacy Calypso environment, and acted as the standing liaison between client investment teams and product owners — scoping their requirements into development work and validating outputs after deployment. At the analytics layer, I hold delegated sign-off authority on valuation, sensitivity, and portfolio risk outputs for institutional portfolios of $5–25bn per engagement, and I am the escalation contact for clients' Heads of Risk when numbers need defending. Earlier, at Ortec Finance, I did the front-office work itself: asset-only and surplus portfolio optimization on VaR and CVaR, risk decomposition and attribution, and scenario analysis presented directly to pension investment committees.</w:t>
      </w:r>
    </w:p>
    <w:p>
      <w:r>
        <w:t>What makes this seat the natural next step is the overlap between Aladdin's institutional client base and the book I have served across roughly seven years — pension plans, asset managers, and consultants whose portfolio management, risk, and reporting teams ask precisely the questions I have spent my career answering. I know how these relationships are earned: understand the client's investment problem first and the product roadmap second, then connect the two credibly enough that the feedback loop back to Product actually moves. I hold the CFA charter and dual MSc degrees from Western University, and work daily in Python and SQL.</w:t>
      </w:r>
    </w:p>
    <w:p>
      <w:r>
        <w:t>I am available for interviews immediately and can start approximately four weeks after offer acceptance. My resume is attached; references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