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Associate, Total Portfolio Rebalancing &amp; Modelling (12-month Contract) candidate with ~7 years of quantitative portfolio research across multi-asset institutional portfolios. Hands-on VaR/CVaR portfolio optimization, risk decomposition, and near-optimal frontier analysis (Ortec GLASS) alongside Monte Carlo economic scenario-generator development; led the design of a Python-based multi-asset cash-flow projection engine at Moody's Analytics. Holds delegated sign-off on valuation and sensitivity outputs for institutional portfolios of $5-25bn per engagement. Presents methodology and research findings to senior investment stakeholders. CFA; dual MSc (Financial Modelling,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Research &amp;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&amp; Asset Allocation (SAA / 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- VaR &amp; CVaR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· SQL · R · MATLAB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Development, Implementation &amp; Testing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Multi-Asset Portfolio Modelling &amp;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portfolio-level analytics delivered to multi-asset institutional portfolios of $5-25bn per engagement (~$50bn+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consistency of sensitivities and scenario impacts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allocation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duration and rate-sensitivity analysis under parallel and non-parallel yield-curve shocks across multi-asset institutional books.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 Development, Implementation &amp; Testing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(pandas, NumPy, SciPy)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reducing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Methodology Review &amp; Research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Contributes to methodology review, documentation, and benchmarking standards through Moody's model governance committee, supporting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Escalates outputs lacking mathematical or economic defensibility and acts as escalation point for client-critical analytical issues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scenario impacts and portfolio sensitivities, translating quantitative output into investment-committee-ready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development requests for Product Owners, contributing to the migration of all assigned accounts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methodology requirements with system implementation and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milestone delivery, governance documentation,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(Monte Carlo)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Asset Allocation (SAA) and helped navigate Tactical Asset Allocation (TAA) risk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on a team of three, developing and validating the model capturing all Funding Policy dynamics and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actuarial liabilities alongside all major investment-product types and economic variables; performed cash-flow, liquidity, and hedging analysis across interest-rate, inflation, and currency risk.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