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20, 2026</w:t>
      </w:r>
    </w:p>
    <w:p>
      <w:r>
        <w:t>Re: Senior Associate, Total Portfolio Rebalancing &amp; Modelling — CPP Investments</w:t>
      </w:r>
    </w:p>
    <w:p>
      <w:r>
        <w:t>Dear Hiring Team,</w:t>
      </w:r>
    </w:p>
    <w:p>
      <w:r>
        <w:t>I have performed and stress-tested the quantitative machinery behind total-portfolio allocation decisions: asset-only and asset-liability (surplus) optimization on VaR and CVaR, risk decomposition and contribution-to-risk budgeting, and near-optimal frontier analysis used specifically to test how robust an allocation recommendation really is. That work -- done for Canadian and international institutional funds on Ortec Finance's GLASS platform, and presented to investment committees -- is the reason I am applying for the Senior Associate, Total Portfolio Rebalancing &amp; Modelling contract role in PDRE.</w:t>
      </w:r>
    </w:p>
    <w:p>
      <w:r>
        <w:t>Since moving to Moody's Analytics I have shifted from advising on models to helping own them in production. I led the design and implementation of an enterprise multi-asset cash-flow projection engine covering base, stress, and reverse-stress scenarios, and I hold delegated sign-off on valuation, sensitivity, and portfolio-level analytics for institutional portfolios of $5-25bn per engagement -- reviewing curve construction, spread calibration, and cross-asset interactions before anything reaches production. I contribute to methodology review, documentation, and benchmarking standards through Moody's model governance committee -- the same constructive-challenge culture your posting describes. On the engineering side, I have migrated spreadsheet-driven workflows into tested Python pipelines with logging and auditability, shadow-running them before cutover to avoid disrupting live client delivery.</w:t>
      </w:r>
    </w:p>
    <w:p>
      <w:r>
        <w:t>Two things make PDRE the right fit rather than a generic quant seat. First, the group is the Fund's centre for top-down research, where models are proposed, challenged, and then implemented into the Balancing process -- I want to work where research has to survive both a committee and production. Second, your commitment to cutting-edge AI tools matches how I already work: agentic development workflows (Claude Code, Cursor) have cut my cycle time an estimated 30-40% on comparable modules. A defined 12-month mandate suits me; I ramp quickly on scoped research problems and have done so repeatedly across client engagements. I am Toronto-based, available for interviews immediately, and can start approximately four weeks after an offer. References available on request.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