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Senior Manager, GRM Portfolio Risk Oversight, Business Financial Services candidate with ~7 years in portfolio risk analytics, stress testing, sensitivity analysis, and forward-looking scenario modelling for institutional portfolios. Holds delegated sign-off on valuation, sensitivity, and risk outputs across engagements of $5-25bn (~$50bn+ cumulative) at Moody's Analytics. Hands-on Python and SQL; VaR/CVaR optimization, risk decomposition, and Monte Carlo scenario generation at Ortec Finance. CFA charterholder, dual MSc in Financial Modelling and Chemical Engineering; translates complex quantitative output into committee-ready insight for senior risk and business leadership.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Risk Analytics &amp; Oversight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Testing, Scenario Analysis &amp; Sensitivity Testing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VaR &amp; CVaR (Expected Shortfall)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Monte Carlo &amp; Statistical/Stochastic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Derivatives Valuation &amp; Sensitivity Validation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Decomposition &amp; Attribution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(pandas, NumPy, SciPy)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SQL (PostgreSQL)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Data Visualization (Plotly, matplotlib)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Senior Leadership &amp; Committee Reporting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Portfolio Risk Oversight &amp; Senior Leadership Insight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risk outputs for multi-asset institutional portfolios of $5-25bn per engagement (~$50bn+ cumulative), independently reviewing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covering rate exposure, scenario impacts, and portfolio sensitivities, translating quantitative output into investment-committee-ready narratives.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Escalated outputs lacking mathematical or economic defensibility and served as escalation point for client-critical analytical issues, interfacing with Heads of Risk and investment stakeholders.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Stress Testing, Scenario Analysis &amp; Sensitivity Testing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scenarios, giving forward-looking visibility from T+1 through multi-year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behavioral cash flow assumptions, prepayment logic, and macro stress overlays used in executive contingency planning.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Oversaw duration and interest-rate sensitivity analysis under parallel and non-parallel rate shocks across institutional portfolios.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Validated derivatives pricing outputs across rates, FX, and inflation, confirming consistency of sensitivities and scenario impacts at portfolio-level aggregates.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Risk Reporting &amp; Analytics Tooling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analytics pipelines with embedded logging, validation, and auditability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Reviewed aggregation logic converting security-level exposures into portfolio-level risk metrics as a member of the model governance committee.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and anomaly detection, cutting development cycle time an estimated 30-40% on comparable modules.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Translated investment-team requirements into structured analytic and development requests while onboarding U.S. and Canadian pension funds, asset managers, and consultants onto PFaroe DB (risk analytics) and PFaroe PM (portfolio management).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Migrated all assigned client accounts from the legacy Calypso platform to PFaroe PM, validating model outputs post-deployment.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actuarial, finance, IT, and risk functions on milestone delivery and contributed to governance documentation and regulatory-readiness processes.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surplus portfolio optimization on VaR and CVaR using Ortec's GLASS platform, with risk decomposition, contribution-to-risk attribution, and near-optimal frontier analysis to test the robustness of allocation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generators, applying statistical and Monte Carlo techniques to assess interest-rate exposure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Analyzed funding ratios, duration mismatch, and long-term balance-sheet exposures across portfolio studies for Canadian and international pension funds and institutional investors.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clients on strategic and tactical asset allocation trade-offs through stress testing and sensitivity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study findings and recommendations to investment committees at Canadian pension-fund clients on site.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