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20, 2026</w:t>
      </w:r>
    </w:p>
    <w:p>
      <w:r>
        <w:t>Re: Senior Manager, GRM Portfolio Risk Oversight, Business Financial Services — RBC</w:t>
      </w:r>
    </w:p>
    <w:p>
      <w:r>
        <w:t>Dear Hiring Team,</w:t>
      </w:r>
    </w:p>
    <w:p>
      <w:r>
        <w:t>At Moody's Analytics I hold delegated sign-off authority on valuation, sensitivity, and risk outputs for multi-asset institutional portfolios of $5-25bn per engagement — independent oversight of a live portfolio book, briefed directly to senior risk and investment stakeholders. That is the shape of the Senior Manager, GRM Portfolio Risk Oversight, Business Financial Services mandate, and it is why I am applying.</w:t>
      </w:r>
    </w:p>
    <w:p>
      <w:r>
        <w:t>Most of my week is spent doing what this role describes: turning portfolio data into a defensible view of where risk sits and what happens under stress. I led the design of a multi-asset cash-flow projection engine supporting base, stress, and reverse-stress scenarios, and rebuilt manual spreadsheet workflows into Python analytics pipelines with logging, validation, and auditability controls. At Ortec Finance I ran asset-only and surplus portfolio optimization on VaR and CVaR, performed risk decomposition and contribution-to-risk attribution, and presented the resulting recommendations to pension-fund investment committees on site. Preparing committee-ready material that is short and quantitatively defensible is work I have done for seven years; Python and SQL are daily tools, not an occasional add-on.</w:t>
      </w:r>
    </w:p>
    <w:p>
      <w:r>
        <w:t>What draws me to this team is that it sits on-site with the business — oversight is only credible when the analytics and the relationship are both strong. One point of directness: my portfolio experience is multi-asset market and balance-sheet risk rather than commercial credit. The machinery transfers — loss distributions, scenario design, sensitivity and impact analysis, and risk attribution — and IFRS 9 transformation work at EY put me next to expected-credit-loss mechanics, but I would be learning the BFS credit book itself, and I would rather say that now than in a later round.</w:t>
      </w:r>
    </w:p>
    <w:p>
      <w:r>
        <w:t>I am Toronto-based, available to interview immediately, and can start approximately four weeks after an offer. My resume is attached and references are available on request. Thank you for your time.</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