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CFA charterholder with ~7 years developing and validating quantitative models for multi-asset institutional portfolios - directly relevant to the Senior Manager, Quantitative Strategies and Analytics role in Global Investment Solutions. Holds delegated sign-off authority at Moody's Analytics on valuation and sensitivity outputs for portfolios of $5-25bn per engagement; performed VaR/CVaR portfolio optimization and risk decomposition, and built stochastic scenario generators, at Ortec Finance. Works daily in Python, SQL, and Excel, automating research and reporting workflows into production pipelines.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Investment Analytics (multi-asset)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Development, Validation &amp; Assumption Review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- VaR / CVaR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 (Risk Budgeting)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&amp; Statistical Modelling,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 - 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 - MATLAB (intermediate, prior research use) -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Analysis &amp; Visualization (Plotly, matplotlib)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Derivatives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Process Automation &amp;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Documentation Standards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Quantitative Model Development &amp; Analytical Tools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providing forward-looking analytics that fed asset-allocation and funding-optimization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enabling funding optimization, refinancing risk assessment, and asset-allocation decisions for institutional investors.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into the projection framework, broadening scenario coverage available to client investment teams.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Validation, Assumptions &amp; Performance Assessment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portfolio-risk outputs for institutional portfolios of $5-25bn per engagement (~$50bn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 and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Assesses model assumptions and underlying data for economic defensibility, escalating outputs lacking mathematical support and acting as escalation point for client-critical analytical issues.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and reviewed aggregation logic converting security-level exposures into portfolio-level risk metrics.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Analysis, Automation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cutting development cycle time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rate exposure, scenario impacts, and portfolio-level sensitivities, translating quantitative output into investment-committee-ready narratives.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DB and PFaroe PM analytics platforms,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investment-team requirements into scoped development requests for product owners; contributed to migrating all assigned client accounts off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measurement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near-optimal frontier analysis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Asset Allocation (SAA) and Tactical Asset Allocation (TAA) trade-offs through stress testing and sensitivity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covering return objectives, duration alignment, and liquidity considerations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pension-fund liabilities alongside all major investment-product types and economic variables; presented study findings to client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study for a three-plan university pension merger, developing and validating the model capturing all funding-policy dynamics and evaluating duration, currency, inflation, and leverage overlay strategies on a team of three.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