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20, 2026</w:t>
      </w:r>
    </w:p>
    <w:p>
      <w:r>
        <w:t>Re: Senior Manager, Quantitative Strategies and Analytics — Scotiabank</w:t>
      </w:r>
    </w:p>
    <w:p>
      <w:r>
        <w:t>For the past four years I have held delegated sign-off authority on the valuation, sensitivity, and portfolio-risk models Moody's Analytics delivers to institutional investors, while also building the models themselves. That development-plus-validation combination is what the Senior Manager, Quantitative Strategies and Analytics role in Global Investment Solutions asks for, and why I am writing.</w:t>
      </w:r>
    </w:p>
    <w:p>
      <w:r>
        <w:t>On the development side, I led the design and implementation of an enterprise multi-asset cash flow projection engine covering base, stress, and reverse-stress scenarios, and re-engineered manual spreadsheet workflows into production Python pipelines with logging, validation, and auditability built in. Earlier, at Ortec Finance, I ran asset-only and surplus portfolio optimization on VaR and CVaR, decomposed contribution-to-risk, tested near-optimal portfolios around the efficient frontier, and calibrated stochastic economic scenario generators that fed strategic and tactical asset-allocation recommendations for pension and institutional clients. On the governance side, I sit on Moody's model governance committee, where methodology review, benchmarking, documentation standards, and model-performance assessment are the standing agenda, and where assessing model assumptions and data inputs for economic defensibility is routine. I hold the CFA charter and dual MSc degrees in Financial Modelling and Chemical Engineering from Western University; Python and SQL are my daily tools, with R and MATLAB from earlier quantitative research.</w:t>
      </w:r>
    </w:p>
    <w:p>
      <w:r>
        <w:t>What draws me specifically to this Global Investment Solutions mandate is its explicit position at the intersection of research, data science, and portfolio management - exactly where I have operated for the past four years. I have translated model output into decisions that portfolio and risk stakeholders actually act on, including escalating a result that passed every internal check but did not survive economic scrutiny, and I have used agentic AI workflows to cut comparable development cycles by an estimated 30-40 percent. I am Toronto-based, available to interview immediately, and can start roughly four weeks after an offer. References available on request.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