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Market Risk Coverage Lead - Vice President candidate with ~7 years across fixed income and multi-asset market risk analytics. Holds delegated sign-off authority on valuation and sensitivity outputs for institutional portfolios of $5-25bn per engagement, with hands-on VaR/CVaR portfolio optimization, stress scenario construction, and rates, foreign exchange and inflation derivatives validation. Model governance committee member, presenting scenario impacts and interest-rate exposure to Heads of Risk and investment committees.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Analytics (Fixed Income, Rates &amp; FX)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Value at Risk (VaR) &amp; Conditional VaR (CVaR)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Stress Scenario Construction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Duration, Key-Rate &amp; Convexity Sensitivities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Decomposition, Attribution &amp; Risk Budgeting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&amp; Risk-Return Trade-offs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Model Methodology Review &amp;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Macroeconomic Scenario Generation &amp; Projections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&amp; Sensitivity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 &amp; Constructive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Stakeholder &amp; Investment Committee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Advanced Excel; VBA (working knowledge)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Fixed Income &amp; Multi-Asset Market Risk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of $5-25bn per engagement ($50bn+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foreign exchange (FX), and inflation, confirming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risk and duration analysis under parallel and non-parallel rate shocks across multi-asset institutional books.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balance-sheet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Methodology Review, Governance &amp; Escalation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 and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acted as escalation point for client-critical analytical issues, interfacing directly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Scenarios, Macro Overlays &amp; Senior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macroeconomic stress overlays into scenario construction.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portfolio sensitivities, translating quantitative output into 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Process &amp; Technology Improvement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Deployed agentic AI development workflows (Claude Code, Cursor) automating code generation, validation scaffolding, and anomaly detection, cutting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Onboarded U.S. and Canadian pension funds, asset managers, and consulting firms onto PFaroe DB (risk &amp; ALM analytics) and PFaroe PM (portfolio management), validating model outputs post-deployment and translating investment-team requirements into development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contributing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Value at Risk (VaR) and Conditional VaR (CVaR) using Ortec's GLASS platform, testing allocation robustness across near-optimal frontier portfolios.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Executed risk decomposition and attribution (contribution-to-risk, risk budgeting) to isolate the drivers of portfolio and funding-ratio volatility.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macroeconomic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and tactical asset allocation trade-offs through stress testing and sensitivity analysis, presenting findings to pension-fund investment committees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