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21, 2026</w:t>
      </w:r>
    </w:p>
    <w:p>
      <w:r>
        <w:t>Re: Market Risk Coverage Lead VP — JPMorganChase</w:t>
      </w:r>
    </w:p>
    <w:p>
      <w:r>
        <w:t>I currently hold delegated sign-off authority on valuation, sensitivity, and scenario outputs for multi-asset institutional portfolios of $5-25bn per engagement at Moody's Analytics — the independent-review seat, interfacing directly with clients' Heads of Risk and investment stakeholders, that the Chief Investment Office, Treasury and Corporate Risk team is building around this Market Risk Coverage Lead - Vice President role. I would like to be considered for the position.</w:t>
      </w:r>
    </w:p>
    <w:p>
      <w:r>
        <w:t>My fixed income depth is hands-on rather than supervisory. At Moody's I review curve construction, spread calibration, and cross-asset interactions before production release; validate derivatives outputs across rates, foreign exchange, and inflation for consistency of sensitivities and scenario impacts; and oversee duration analysis under parallel and non-parallel rate shocks. I also review the aggregation logic converting security-level exposures into portfolio-level risk metrics feeding downstream monitoring and escalation processes. I sit on Moody's model governance committee, contributing to methodology review, benchmarking, and model-performance assessment, and have held a release to escalate outputs that were mathematically clean but economically indefensible. Earlier, at Ortec Finance, I ran asset-only and surplus portfolio optimization on VaR and CVaR, decomposed contribution-to-risk to isolate drivers of portfolio volatility, and calibrated stochastic economic scenario generators translating macroeconomic regimes into funding projections for institutional clients — then defended those results to investment committees on-site.</w:t>
      </w:r>
    </w:p>
    <w:p>
      <w:r>
        <w:t>I also modernize the workflows behind the numbers: I led an enterprise cash-flow projection engine spanning base, stress, and reverse-stress scenarios, and re-engineered spreadsheet processes into audited Python pipelines, with agentic AI tooling cutting development cycle time an estimated 30-40%. What draws me to this seat specifically is that the CIO and Treasury book sits exactly where market risk and balance-sheet risk meet — the intersection where my seven years have been spent. I hold the CFA charter and dual MSc degrees from Western University, am Toronto-based, available immediately, and can start roughly four weeks after an offer.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