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Investment and market risk specialist with ~7 years of institutional risk analytics experience, aligned to the Market Risk Coverage Lead - Vice President mandate at J.P. Morgan Asset Management Risk. Delegated sign-off authority on valuation and sensitivity outputs for multi-asset institutional portfolios of $5-25bn per engagement at Moody's Analytics, serving buy-side pension, asset-management, and consulting clients. Hands-on VaR and CVaR portfolio optimization, risk decomposition, stress testing, and stochastic scenario modelling for pension and institutional mandates at Ortec Finance. Python and SQL analytics; CFA charterholder with dual MSc degrees.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Market Risk Monitoring &amp; Measurement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Value-at-Risk (VaR) &amp; Conditional VaR (CVaR)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Risk Analysis &amp; Sensitivities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Decomposition &amp; Attribution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Risk Oversight &amp; Escalation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Liquidity &amp; Cash Flow Risk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Valuations &amp; Risk Systems (PFaroe, GLASS)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Modelling &amp; Monte Carlo Simulation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Anomaly Detection &amp; Validation Automation (AI-assisted code/output review)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 &amp; Analytics Pipelines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 &amp; Independent Review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 - Asset Management &amp; Buy-Side Solutions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Independent Risk Measurement &amp; Assessment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 and sensitivity outputs for multi-asset institutional portfolios of $5-25bn per engagement (~$50bn+ cumulative), independently reviewing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FX, and inflation, confirming consistency of sensitivities and scenario impacts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benchmarking and documentation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risk metrics feeding downstream risk and capital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Portfolio Stress, Scenario &amp; Liquidity Risk Analysis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across multi-year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multi-year), supporting funding, refinancing-risk,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Oversaw duration and rate-sensitivity analysis under parallel and non-parallel shocks across multi-asset institutional books.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Risk Oversight, Escalation &amp; Stakeholder Engagement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Escalated outputs lacking mathematical or economic defensibility and served as escalation point for client-critical analytical issues, interfacing directly with clients'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covering exposure, scenario impacts, and portfolio sensitivities, translating quantitative output into investment-committee-ready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validation scaffolding and anomaly detection in code and model outputs, cutting development cycle time an estimated 30-40%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DB (risk &amp; ALM analytics) and PFaroe PM (portfolio management)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owners, scoping requirements into development requests and validating model outputs post-deployment; contributed to migrating all assigned accounts off the legacy Calypso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risk and finance transformation projects for Canadian and international insurance clients, aligning regulatory requirements with system implementation.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program-management teams on milestone delivery, governance documentation, and 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 and near-optimal frontier analysis to test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institutional clients on strategic and tactical asset allocation trade-offs through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across interest-rate,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merger, on a team of three developing and validating the model capturing all funding-policy dynamics and evaluating duration, currency, inflation, and leverage 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risk recommendations on-site to investment committees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