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21, 2026</w:t>
      </w:r>
    </w:p>
    <w:p>
      <w:r>
        <w:t>Re: Market Risk Coverage Lead - Vice President — JPMorganChase</w:t>
      </w:r>
    </w:p>
    <w:p>
      <w:r>
        <w:t>Dear Hiring Team,</w:t>
      </w:r>
    </w:p>
    <w:p>
      <w:r>
        <w:t>I currently hold delegated sign-off authority on valuation and sensitivity outputs for multi-asset institutional portfolios of $5-25bn per engagement at Moody's Analytics - the independent risk measurement, monitoring, and challenge mandate at the center of the Market Risk Coverage Lead - Vice President role in J.P. Morgan Asset Management Risk. I would like to be considered for it.</w:t>
      </w:r>
    </w:p>
    <w:p>
      <w:r>
        <w:t>My day-to-day maps closely onto this mandate. I independently review curve construction, spread calibration, and cross-asset interactions before analytics reach institutional clients, validate derivatives sensitivities and scenario impacts at portfolio-level aggregates, and sit on the model governance committee that sets methodology and documentation standards. I led the design of a multi-asset cash-flow and liquidity engine covering base, stress, and reverse-stress scenarios. Earlier, at Ortec Finance, I ran hands-on VaR and CVaR portfolio optimization and risk decomposition on the GLASS platform for pension and institutional mandates, presenting findings directly to investment committees. I have also modernized legacy spreadsheet workflows into auditable Python pipelines and built agentic-AI tooling that automates validation scaffolding and flags anomalies in code and model outputs - adjacent to, though distinct from, market-data anomaly detection, and a discipline I would bring to this seat.</w:t>
      </w:r>
    </w:p>
    <w:p>
      <w:r>
        <w:t>What draws me to this mandate is its scope across Tax Management Solutions, Model Delivery, and Customization at Scale - a platform where risk frameworks have to be built alongside the product rather than after it. My depth sits in multi-asset, cash-flow-driven institutional mandates rather than real estate specifically; I would expect to ramp on the asset class quickly and bring the framework, escalation discipline, and stakeholder-translation experience I have built at Moody's and Ortec with me. I hold the CFA charter and dual MSc degrees from Western University, am based in Toronto, available for interviews immediately, and can start approximately four weeks after offer acceptance.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