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Quantitative risk and model-governance professional with ~7 years across market and balance-sheet risk, derivatives valuation, and independent model review, aligned to an Associate Director, Global Risk Analytics mandate. Holds delegated sign-off authority on valuation, sensitivity, and ALM outputs for multi-asset institutional portfolios ($5–25bn per engagement; $50bn+ cumulative) at Moody’s Analytics, independently reviewing and validating pricing and scenario model outputs across rates, FX, and inflation. Strong in Python, MATLAB, SQL, stochastic / Monte Carlo simulation, and statistics, with applied knowledge of Basel-aligned market-risk and stress-testing frameworks. CFA charterholder,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Market Risk &amp; Balance-Sheet Risk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Valuation – Rates, FX, Inflation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Testing, Scenario &amp; Reverse-Stress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Quantitative Model Development &amp; Methodology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Stochastic, Monte Carlo &amp; Statistical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Independent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MATLAB, SQL &amp;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 &amp;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Reporting &amp; Executive / Stakeholder Communication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Moody’s Analytics – Asset Management &amp; Buy-Side Solutions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–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Valuation, Model Review &amp; Risk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for valuation, sensitivity, and ALM outputs across multi-asset institutional portfolios ($5–25bn per engagement; $50bn+ cumulative), independently reviewing curve construction, spread calibration, and cross-asset interactions before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Independently review and validate derivatives pricing and sensitivity outputs across rates, FX, and inflation, ensuring sensitivities and scenario impacts are consistent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ALM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and market exposure under parallel and non-parallel shock scenarios, aligned with IRRBB and Basel Committee market-risk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Document model assumptions, limitations, and testing results to support internal validation and approval, consistent with model-governance documentation standards.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Scenario, Stress &amp; Liquidity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Lead the design and ongoing development of an enterprise multi-asset cash flow projection and scenario engine (base, stress, reverse-stress), applicable to CCAR-style forward-looking stress assessment.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 configurable time-bucketed liquidity gap analytics (T+1 through multi-year) supporting funding, refinancing, and capital-adequacy assessment.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 tools to monitor model performance, assumptions, and limitations on an ongoing basis, investigating and remediating issues surfaced through monitoring or independent validation.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 manual spreadsheet workflows into auditable Python pipelines and build agentic AI workflows (Claude Code, Cursor IDE) that cut development and validation cycle time ~30–40%.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 &amp; Stakeholder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framework, reviewing assumptions and stress methodologies and escalating outputs lacking mathematical or economic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Explain complex modelling concepts and scenario impacts to senior management and clients’ Heads of Risk, translating quantitative outputs into decision-ready narratives.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– ALM &amp; Risk Analytics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translating requirements into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the PFaroe PM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–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model and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risk functions; contributed to governance documentation and regulatory-readiness processes for financial institutions.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–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(Monte Carlo) to assess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analysis, evaluating trade-offs between return objectives, duration alignment, and liquidity considerations.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to investment committees and senior stakeholders to support strategic allocation decisions.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–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–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–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