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28B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sz w:val="28"/>
        </w:rPr>
        <w:t>Final Project Report (DIGS 30009)</w:t>
      </w:r>
    </w:p>
    <w:p w14:paraId="3A0C1581" w14:textId="44E94F6D" w:rsidR="00FD3611"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December </w:t>
      </w:r>
      <w:r w:rsidR="001B1C27">
        <w:rPr>
          <w:rFonts w:ascii="Times New Roman" w:hAnsi="Times New Roman" w:cs="Times New Roman"/>
          <w:color w:val="000000" w:themeColor="text1"/>
        </w:rPr>
        <w:t>8</w:t>
      </w:r>
      <w:r w:rsidR="001B1C27" w:rsidRPr="001B1C27">
        <w:rPr>
          <w:rFonts w:ascii="Times New Roman" w:hAnsi="Times New Roman" w:cs="Times New Roman"/>
          <w:color w:val="000000" w:themeColor="text1"/>
          <w:vertAlign w:val="superscript"/>
        </w:rPr>
        <w:t>th</w:t>
      </w:r>
      <w:proofErr w:type="gramStart"/>
      <w:r w:rsidR="001B1C27">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2025</w:t>
      </w:r>
      <w:proofErr w:type="gramEnd"/>
    </w:p>
    <w:p w14:paraId="1731CC75" w14:textId="26A0BDB3" w:rsidR="001B1C27" w:rsidRDefault="001B1C27" w:rsidP="009D3BBA">
      <w:pPr>
        <w:jc w:val="both"/>
        <w:rPr>
          <w:rFonts w:ascii="Times New Roman" w:hAnsi="Times New Roman" w:cs="Times New Roman"/>
          <w:color w:val="000000" w:themeColor="text1"/>
        </w:rPr>
      </w:pPr>
      <w:r>
        <w:rPr>
          <w:rFonts w:ascii="Times New Roman" w:hAnsi="Times New Roman" w:cs="Times New Roman"/>
          <w:color w:val="000000" w:themeColor="text1"/>
        </w:rPr>
        <w:t>Clio Luo</w:t>
      </w:r>
    </w:p>
    <w:p w14:paraId="46E95B37" w14:textId="77777777" w:rsidR="000A05B5" w:rsidRDefault="000A05B5" w:rsidP="009D3BBA">
      <w:pPr>
        <w:jc w:val="both"/>
        <w:rPr>
          <w:rFonts w:ascii="Times New Roman" w:hAnsi="Times New Roman" w:cs="Times New Roman"/>
          <w:color w:val="000000" w:themeColor="text1"/>
        </w:rPr>
      </w:pPr>
    </w:p>
    <w:p w14:paraId="6CFD7F97" w14:textId="7FBBDB3C" w:rsidR="000A05B5" w:rsidRPr="000A05B5" w:rsidRDefault="000A05B5" w:rsidP="000A05B5">
      <w:pPr>
        <w:jc w:val="center"/>
        <w:rPr>
          <w:rFonts w:ascii="Times New Roman" w:hAnsi="Times New Roman" w:cs="Times New Roman"/>
          <w:b/>
          <w:bCs/>
          <w:color w:val="000000" w:themeColor="text1"/>
          <w:sz w:val="32"/>
          <w:szCs w:val="32"/>
        </w:rPr>
      </w:pPr>
      <w:r w:rsidRPr="000A05B5">
        <w:rPr>
          <w:rFonts w:ascii="Times New Roman" w:hAnsi="Times New Roman" w:cs="Times New Roman"/>
          <w:b/>
          <w:bCs/>
          <w:color w:val="000000" w:themeColor="text1"/>
          <w:sz w:val="32"/>
          <w:szCs w:val="32"/>
        </w:rPr>
        <w:t>Ancient Chinese Historical and Philosophical Text Genre Classification</w:t>
      </w:r>
    </w:p>
    <w:p w14:paraId="7CA1B699"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1. Data Description</w:t>
      </w:r>
    </w:p>
    <w:p w14:paraId="62E70963"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This project builds a supervised machine-learning pipeline to classify short segments of Classical Chinese text into three genre categories: Song-Ming History, Neo-Confucianism, and School of Mind. The underlying corpus consists of 20 full documents in Classical Chinese spanning the Pre-Qin and Song-Ming periods, chosen because they are central to ongoing research on Chinese philosophy and the intellectual history of concepts. These texts include historical narratives, doctrinal expositions, and philosophical treatises, providing a focused but non-trivial sample of genres that are important for tracing the development of key cultural and philosophical ideas.</w:t>
      </w:r>
    </w:p>
    <w:p w14:paraId="545FF3E7"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dataset used for modeling does not operate at the level of whole documents but at the level of short text chunks derived from them. In total, 625,468 chunks were created from the 20 source files using a recursive character-level text splitter that respects Chinese punctuation and targets short segments. Each chunk is associated with its source document and inherits that document's genre label, so that every observation in the dataset is fully supervised with one of three genre tags. This chunking strategy permits the use of standard text-classification methods while also yielding enough observations to support robust training and evaluation.</w:t>
      </w:r>
    </w:p>
    <w:p w14:paraId="001CD610"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1.1 Corpus Construction and Genre Labels</w:t>
      </w:r>
    </w:p>
    <w:p w14:paraId="6D4CE1ED"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20 source documents are distributed across three genre categories labeled in Chinese: </w:t>
      </w:r>
      <w:r w:rsidRPr="009D3BBA">
        <w:rPr>
          <w:rFonts w:ascii="Times New Roman" w:hAnsi="Times New Roman" w:cs="Times New Roman"/>
          <w:color w:val="000000" w:themeColor="text1"/>
        </w:rPr>
        <w:t>宋明史</w:t>
      </w:r>
      <w:r w:rsidRPr="009D3BBA">
        <w:rPr>
          <w:rFonts w:ascii="Times New Roman" w:hAnsi="Times New Roman" w:cs="Times New Roman"/>
          <w:color w:val="000000" w:themeColor="text1"/>
        </w:rPr>
        <w:t xml:space="preserve"> (Song-Ming History),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xml:space="preserve"> (Neo-Confucianism, referring to Lixue or </w:t>
      </w:r>
      <w:proofErr w:type="gramStart"/>
      <w:r w:rsidRPr="009D3BBA">
        <w:rPr>
          <w:rFonts w:ascii="Times New Roman" w:hAnsi="Times New Roman" w:cs="Times New Roman"/>
          <w:color w:val="000000" w:themeColor="text1"/>
        </w:rPr>
        <w:t>Principle</w:t>
      </w:r>
      <w:proofErr w:type="gramEnd"/>
      <w:r w:rsidRPr="009D3BBA">
        <w:rPr>
          <w:rFonts w:ascii="Times New Roman" w:hAnsi="Times New Roman" w:cs="Times New Roman"/>
          <w:color w:val="000000" w:themeColor="text1"/>
        </w:rPr>
        <w:t xml:space="preserve"> Learning), and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xml:space="preserve"> (School-of-Mind, referring to Xinxue or Mind Learning). The historical works represent Song-Ming historiography and related narratives that embed moral and political commentary in the recounting of events. The Neo-Confucian texts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xml:space="preserve">) consist of more scholastic writing, often expository in tone, devoted to synthesizing and systematizing Confucian doctrine around the concept of principle (li). The </w:t>
      </w:r>
      <w:proofErr w:type="gramStart"/>
      <w:r w:rsidRPr="009D3BBA">
        <w:rPr>
          <w:rFonts w:ascii="Times New Roman" w:hAnsi="Times New Roman" w:cs="Times New Roman"/>
          <w:color w:val="000000" w:themeColor="text1"/>
        </w:rPr>
        <w:t>School</w:t>
      </w:r>
      <w:proofErr w:type="gramEnd"/>
      <w:r w:rsidRPr="009D3BBA">
        <w:rPr>
          <w:rFonts w:ascii="Times New Roman" w:hAnsi="Times New Roman" w:cs="Times New Roman"/>
          <w:color w:val="000000" w:themeColor="text1"/>
        </w:rPr>
        <w:t>-of-Mind documents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focus more explicitly on introspection, psychological metaphor, and the unity of mind and principle, reflecting a different philosophical style even when the vocabulary overlaps.</w:t>
      </w:r>
    </w:p>
    <w:p w14:paraId="3984313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lastRenderedPageBreak/>
        <w:t>Genre labels are assigned at the document level and then inherited by all chunks taken from each document. This choice presupposes that each work is sufficiently homogeneous in its dominant genre, even though real Classical Chinese texts mix narrative, commentary, quotation, and argument. As a result, some individual chunks are arguably mislabeled in a strict sense—an anecdotal passage within a philosophical commentary may look 'historical'—but for the purposes of this project, the aim is to capture dominant tendencies in language use across these high-level categories rather than to resolve every local genre ambiguity. This simplifying assumption is both a strength, because it makes the problem tractable, and a limitation, because it conflates genre with authorship and text identity.</w:t>
      </w:r>
    </w:p>
    <w:p w14:paraId="1F6002D7"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1.2 Chunking Strategy and Descriptive Statistics</w:t>
      </w:r>
    </w:p>
    <w:p w14:paraId="4159A402"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To convert full documents into machine-learning observations, the project uses a character-level RecursiveCharacterTextSplitter configured with separators tailored to Chinese punctuation. The splitter recognizes characters such as the ideographic full stop, ideographic comma, and related marks as preferred boundaries, allowing it to break texts into short segments that are closer to sentences or clauses than to arbitrary 150-character windows. Although the original configuration targeted approximately 150 characters per chunk, the </w:t>
      </w:r>
      <w:proofErr w:type="gramStart"/>
      <w:r w:rsidRPr="009D3BBA">
        <w:rPr>
          <w:rFonts w:ascii="Times New Roman" w:hAnsi="Times New Roman" w:cs="Times New Roman"/>
          <w:color w:val="000000" w:themeColor="text1"/>
        </w:rPr>
        <w:t>particular run</w:t>
      </w:r>
      <w:proofErr w:type="gramEnd"/>
      <w:r w:rsidRPr="009D3BBA">
        <w:rPr>
          <w:rFonts w:ascii="Times New Roman" w:hAnsi="Times New Roman" w:cs="Times New Roman"/>
          <w:color w:val="000000" w:themeColor="text1"/>
        </w:rPr>
        <w:t xml:space="preserve"> used in this project set a smaller chunk size (around 30 characters), leading to many shorter segments. The resulting chunks preserve the original character sequence but do not retain full document context, which is both an advantage for local classification and a risk for interpretive coherence.</w:t>
      </w:r>
    </w:p>
    <w:p w14:paraId="26F5B98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Once chunked, the 625,468 segments are assembled into a single table with columns for the text, the genre label, the source filename, and a chunk index. Basic descriptive statistics show that the dataset is imbalanced by genre, with the three categories labeled as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xml:space="preserve"> (School-of-Mind),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xml:space="preserve"> (Neo-Confucianism), and </w:t>
      </w:r>
      <w:r w:rsidRPr="009D3BBA">
        <w:rPr>
          <w:rFonts w:ascii="Times New Roman" w:hAnsi="Times New Roman" w:cs="Times New Roman"/>
          <w:color w:val="000000" w:themeColor="text1"/>
        </w:rPr>
        <w:t>宋明史</w:t>
      </w:r>
      <w:r w:rsidRPr="009D3BBA">
        <w:rPr>
          <w:rFonts w:ascii="Times New Roman" w:hAnsi="Times New Roman" w:cs="Times New Roman"/>
          <w:color w:val="000000" w:themeColor="text1"/>
        </w:rPr>
        <w:t xml:space="preserve"> (Song-Ming History). The average chunk length across the dataset is approximately 22.6 characters, with distributional differences among the three genres; for example, one genre shows a slightly higher mean and a heavier tail toward longer chunks, reflecting longer sentences or more complex constructions. There are 20 unique source documents distributed across the three genres, indicating that the dataset has many more chunks than documents and that document-specific patterns may influence the models.</w:t>
      </w:r>
    </w:p>
    <w:p w14:paraId="3BDAE029" w14:textId="1D8E8D22" w:rsidR="00FD3611"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Visualizations generated during exploration confirm these patterns. A bar chart </w:t>
      </w:r>
      <w:r w:rsidR="005249F7">
        <w:rPr>
          <w:rFonts w:ascii="Times New Roman" w:hAnsi="Times New Roman" w:cs="Times New Roman"/>
          <w:color w:val="000000" w:themeColor="text1"/>
        </w:rPr>
        <w:t xml:space="preserve">(Fig. 1) </w:t>
      </w:r>
      <w:r w:rsidRPr="009D3BBA">
        <w:rPr>
          <w:rFonts w:ascii="Times New Roman" w:hAnsi="Times New Roman" w:cs="Times New Roman"/>
          <w:color w:val="000000" w:themeColor="text1"/>
        </w:rPr>
        <w:t>of class distribution illustrates the imbalance across the three genre categories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宋明史</w:t>
      </w:r>
      <w:r w:rsidRPr="009D3BBA">
        <w:rPr>
          <w:rFonts w:ascii="Times New Roman" w:hAnsi="Times New Roman" w:cs="Times New Roman"/>
          <w:color w:val="000000" w:themeColor="text1"/>
        </w:rPr>
        <w:t xml:space="preserve">). A boxplot </w:t>
      </w:r>
      <w:r w:rsidR="005249F7">
        <w:rPr>
          <w:rFonts w:ascii="Times New Roman" w:hAnsi="Times New Roman" w:cs="Times New Roman"/>
          <w:color w:val="000000" w:themeColor="text1"/>
        </w:rPr>
        <w:t xml:space="preserve">(Fig. 2) </w:t>
      </w:r>
      <w:r w:rsidRPr="009D3BBA">
        <w:rPr>
          <w:rFonts w:ascii="Times New Roman" w:hAnsi="Times New Roman" w:cs="Times New Roman"/>
          <w:color w:val="000000" w:themeColor="text1"/>
        </w:rPr>
        <w:t xml:space="preserve">of chunk length by genre reveals that all three genres exhibit some very short and very long segments, often due to headings, lists, or complex sentences that are not split further. </w:t>
      </w:r>
      <w:r w:rsidR="005249F7">
        <w:rPr>
          <w:rFonts w:ascii="Times New Roman" w:hAnsi="Times New Roman" w:cs="Times New Roman"/>
          <w:color w:val="000000" w:themeColor="text1"/>
        </w:rPr>
        <w:t xml:space="preserve">Although </w:t>
      </w:r>
      <w:r w:rsidR="005249F7" w:rsidRPr="009D3BBA">
        <w:rPr>
          <w:rFonts w:ascii="Times New Roman" w:hAnsi="Times New Roman" w:cs="Times New Roman"/>
          <w:color w:val="000000" w:themeColor="text1"/>
        </w:rPr>
        <w:t>most chunks cluster around 20-25 characters</w:t>
      </w:r>
      <w:r w:rsidR="005249F7">
        <w:rPr>
          <w:rFonts w:ascii="Times New Roman" w:hAnsi="Times New Roman" w:cs="Times New Roman"/>
          <w:color w:val="000000" w:themeColor="text1"/>
        </w:rPr>
        <w:t>.</w:t>
      </w:r>
      <w:r w:rsidR="005249F7"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 xml:space="preserve">Additional plots of 'chunks per source file' underscore that some documents contribute disproportionately many segments, which may bias models toward recognizing </w:t>
      </w:r>
      <w:proofErr w:type="gramStart"/>
      <w:r w:rsidRPr="009D3BBA">
        <w:rPr>
          <w:rFonts w:ascii="Times New Roman" w:hAnsi="Times New Roman" w:cs="Times New Roman"/>
          <w:color w:val="000000" w:themeColor="text1"/>
        </w:rPr>
        <w:t xml:space="preserve">particular </w:t>
      </w:r>
      <w:r w:rsidRPr="009D3BBA">
        <w:rPr>
          <w:rFonts w:ascii="Times New Roman" w:hAnsi="Times New Roman" w:cs="Times New Roman"/>
          <w:color w:val="000000" w:themeColor="text1"/>
        </w:rPr>
        <w:lastRenderedPageBreak/>
        <w:t>works</w:t>
      </w:r>
      <w:proofErr w:type="gramEnd"/>
      <w:r w:rsidRPr="009D3BBA">
        <w:rPr>
          <w:rFonts w:ascii="Times New Roman" w:hAnsi="Times New Roman" w:cs="Times New Roman"/>
          <w:color w:val="000000" w:themeColor="text1"/>
        </w:rPr>
        <w:t xml:space="preserve"> rather than more abstract genre features. These descriptive analyses motivate the modeling strategies discussed later and highlight the importance of addressing class imbalance and potential data leakage.</w:t>
      </w:r>
    </w:p>
    <w:p w14:paraId="1F76B6FE" w14:textId="0AE6B6C8" w:rsidR="005249F7" w:rsidRDefault="005249F7" w:rsidP="009D3BBA">
      <w:pPr>
        <w:jc w:val="both"/>
        <w:rPr>
          <w:rFonts w:ascii="Times New Roman" w:hAnsi="Times New Roman" w:cs="Times New Roman"/>
          <w:color w:val="000000" w:themeColor="text1"/>
        </w:rPr>
      </w:pPr>
      <w:r w:rsidRPr="005249F7">
        <w:rPr>
          <w:rFonts w:ascii="Times New Roman" w:hAnsi="Times New Roman" w:cs="Times New Roman"/>
          <w:noProof/>
          <w:color w:val="000000" w:themeColor="text1"/>
        </w:rPr>
        <w:drawing>
          <wp:inline distT="0" distB="0" distL="0" distR="0" wp14:anchorId="4FFECD6E" wp14:editId="2D948EC3">
            <wp:extent cx="1473200" cy="1739900"/>
            <wp:effectExtent l="0" t="0" r="0" b="0"/>
            <wp:docPr id="210725566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5663" name="Picture 1" descr="A graph with different colored bars&#10;&#10;AI-generated content may be incorrect."/>
                    <pic:cNvPicPr/>
                  </pic:nvPicPr>
                  <pic:blipFill>
                    <a:blip r:embed="rId6"/>
                    <a:stretch>
                      <a:fillRect/>
                    </a:stretch>
                  </pic:blipFill>
                  <pic:spPr>
                    <a:xfrm>
                      <a:off x="0" y="0"/>
                      <a:ext cx="1473200" cy="1739900"/>
                    </a:xfrm>
                    <a:prstGeom prst="rect">
                      <a:avLst/>
                    </a:prstGeom>
                  </pic:spPr>
                </pic:pic>
              </a:graphicData>
            </a:graphic>
          </wp:inline>
        </w:drawing>
      </w:r>
    </w:p>
    <w:p w14:paraId="606A7D27" w14:textId="705034B4" w:rsidR="005249F7" w:rsidRDefault="005249F7" w:rsidP="009D3BBA">
      <w:pPr>
        <w:jc w:val="both"/>
        <w:rPr>
          <w:rFonts w:ascii="Times New Roman" w:hAnsi="Times New Roman" w:cs="Times New Roman"/>
          <w:color w:val="000000" w:themeColor="text1"/>
        </w:rPr>
      </w:pPr>
      <w:r>
        <w:rPr>
          <w:rFonts w:ascii="Times New Roman" w:hAnsi="Times New Roman" w:cs="Times New Roman"/>
          <w:color w:val="000000" w:themeColor="text1"/>
        </w:rPr>
        <w:t>Fig. 1</w:t>
      </w:r>
    </w:p>
    <w:p w14:paraId="62BFA80F" w14:textId="0C7D4B6F" w:rsidR="005249F7" w:rsidRDefault="005249F7" w:rsidP="009D3BBA">
      <w:pPr>
        <w:jc w:val="both"/>
        <w:rPr>
          <w:rFonts w:ascii="Times New Roman" w:hAnsi="Times New Roman" w:cs="Times New Roman"/>
          <w:color w:val="000000" w:themeColor="text1"/>
        </w:rPr>
      </w:pPr>
      <w:r w:rsidRPr="005249F7">
        <w:rPr>
          <w:rFonts w:ascii="Times New Roman" w:hAnsi="Times New Roman" w:cs="Times New Roman"/>
          <w:noProof/>
          <w:color w:val="000000" w:themeColor="text1"/>
        </w:rPr>
        <w:drawing>
          <wp:inline distT="0" distB="0" distL="0" distR="0" wp14:anchorId="3DC3AAD4" wp14:editId="641056AF">
            <wp:extent cx="1714500" cy="1549400"/>
            <wp:effectExtent l="0" t="0" r="0" b="0"/>
            <wp:docPr id="2038512818" name="Picture 1" descr="A graph of text length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12818" name="Picture 1" descr="A graph of text length distribution&#10;&#10;AI-generated content may be incorrect."/>
                    <pic:cNvPicPr/>
                  </pic:nvPicPr>
                  <pic:blipFill>
                    <a:blip r:embed="rId7"/>
                    <a:stretch>
                      <a:fillRect/>
                    </a:stretch>
                  </pic:blipFill>
                  <pic:spPr>
                    <a:xfrm>
                      <a:off x="0" y="0"/>
                      <a:ext cx="1714500" cy="1549400"/>
                    </a:xfrm>
                    <a:prstGeom prst="rect">
                      <a:avLst/>
                    </a:prstGeom>
                  </pic:spPr>
                </pic:pic>
              </a:graphicData>
            </a:graphic>
          </wp:inline>
        </w:drawing>
      </w:r>
    </w:p>
    <w:p w14:paraId="12B69B8D" w14:textId="003B1E29" w:rsidR="005249F7" w:rsidRPr="009D3BBA" w:rsidRDefault="005249F7" w:rsidP="009D3BBA">
      <w:pPr>
        <w:jc w:val="both"/>
        <w:rPr>
          <w:rFonts w:ascii="Times New Roman" w:hAnsi="Times New Roman" w:cs="Times New Roman"/>
          <w:color w:val="000000" w:themeColor="text1"/>
        </w:rPr>
      </w:pPr>
      <w:r>
        <w:rPr>
          <w:rFonts w:ascii="Times New Roman" w:hAnsi="Times New Roman" w:cs="Times New Roman"/>
          <w:color w:val="000000" w:themeColor="text1"/>
        </w:rPr>
        <w:t>Fig. 2</w:t>
      </w:r>
    </w:p>
    <w:p w14:paraId="56D64B40"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1.3 Data Concerns and Limitations</w:t>
      </w:r>
    </w:p>
    <w:p w14:paraId="7611C597"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From the outset, several concerns about the dataset shape the project's design and interpretation. The most obvious is class imbalance: the three genres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宋明史</w:t>
      </w:r>
      <w:r w:rsidRPr="009D3BBA">
        <w:rPr>
          <w:rFonts w:ascii="Times New Roman" w:hAnsi="Times New Roman" w:cs="Times New Roman"/>
          <w:color w:val="000000" w:themeColor="text1"/>
        </w:rPr>
        <w:t>) are not evenly distributed, which means a naive classifier could achieve apparently high accuracy by over-predicting the majority class. This is why evaluation must focus not only on overall accuracy but also on per-class precision and recall. A second concern is possible data leakage: because chunks from the same document are scattered across both the training and test sets under a random chunk-level split, models may pick up document-specific idiosyncrasies that appear in both partitions, inflating performance metrics.</w:t>
      </w:r>
    </w:p>
    <w:p w14:paraId="22D62EE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A third limitation is temporal and stylistic mismatch. The corpus spans texts from early Pre-Qin philosophy through Song-Ming Neo-Confucianism, traversing more than a millennium of linguistic and cultural evolution. Character usage, orthographic conventions, and syntactic structures vary across periods, so a random split that mixes Pre-Qin and Song-Ming chunks in both train and test sets does not respect the temporal </w:t>
      </w:r>
      <w:r w:rsidRPr="009D3BBA">
        <w:rPr>
          <w:rFonts w:ascii="Times New Roman" w:hAnsi="Times New Roman" w:cs="Times New Roman"/>
          <w:color w:val="000000" w:themeColor="text1"/>
        </w:rPr>
        <w:lastRenderedPageBreak/>
        <w:t>structure of the data. If the ultimate research goal is to ask how well a classifier trained on later texts transfers to earlier ones, or vice versa, then a temporally aware split is essential; the current setup does not implement this, and that limitation is revisited in the critique section. These concerns inform both the methodological choices and the interpretation of results.</w:t>
      </w:r>
    </w:p>
    <w:p w14:paraId="0DD280A2"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 Theoretical Framework: Supervised Learning</w:t>
      </w:r>
    </w:p>
    <w:p w14:paraId="5F9D6E1D"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Supervised machine learning provides a natural and well-theorized framework for the genre-classification task in this project, because the objective is to infer a mapping from text chunks (inputs) to genre labels (outputs) based on a large collection of labeled examples. In formal terms, following Russell and Norvig, the training corpus can be described as a set of input–output pairs (xᵢ, yᵢ) generated by an unknown target function f, where each xᵢ is a feature vector and each yᵢ is the corresponding ground-truth label. The learning problem is to select a hypothesis h from a specified hypothesis space H such that h approximates f not only on the observed examples but also on future, unseen inputs. In this project, each xᵢ is a TF-IDF vector of character-level n-grams derived from a Classical Chinese text chunk, and each yᵢ is one of three genre labels (Song–Ming History, Neo-Confucianism, School of Mind), so the task instantiates a supervised multi-class classification problem rather than regression or unsupervised pattern discovery.</w:t>
      </w:r>
    </w:p>
    <w:p w14:paraId="35962F4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This formulation situates the project squarely within the standard taxonomy of learning paradigms. Russell and Norvig distinguish supervised learning (learning a mapping from inputs to labeled outputs) from unsupervised learning (identifying structure without labels, such as clustering) and reinforcement learning (optimizing behavior from reward signals over time). In classification tasks like this one, the output space is a finite set of discrete labels, whereas in regression tasks the output is numeric. The presence of explicit genre labels for all 625,468 text chunks makes supervised classification the appropriate choice; unsupervised clustering would instead aim at discovering latent groupings that may or may not align with historically and philosophically defined genres, and reinforcement learning would be mismatched because there is no sequential decision process with delayed rewards.</w:t>
      </w:r>
    </w:p>
    <w:p w14:paraId="5DA030A6"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2.1 Hypothesis Space and Bias-Variance Trade-offs</w:t>
      </w:r>
    </w:p>
    <w:p w14:paraId="65772E30" w14:textId="172AEBCC"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Within the supervised-learning framework, a central design choice is the hypothesis space—that is, the family of functions from which the learning algorithm may select a model. </w:t>
      </w:r>
      <w:r w:rsidR="009E1D53" w:rsidRPr="009E1D53">
        <w:rPr>
          <w:rFonts w:ascii="Times New Roman" w:hAnsi="Times New Roman" w:cs="Times New Roman"/>
          <w:color w:val="000000" w:themeColor="text1"/>
        </w:rPr>
        <w:t xml:space="preserve">The bias-variance tradeoff is central to statistical learning theory (Hastie, </w:t>
      </w:r>
      <w:proofErr w:type="spellStart"/>
      <w:r w:rsidR="009E1D53" w:rsidRPr="009E1D53">
        <w:rPr>
          <w:rFonts w:ascii="Times New Roman" w:hAnsi="Times New Roman" w:cs="Times New Roman"/>
          <w:color w:val="000000" w:themeColor="text1"/>
        </w:rPr>
        <w:t>Tibshirani</w:t>
      </w:r>
      <w:proofErr w:type="spellEnd"/>
      <w:r w:rsidR="009E1D53" w:rsidRPr="009E1D53">
        <w:rPr>
          <w:rFonts w:ascii="Times New Roman" w:hAnsi="Times New Roman" w:cs="Times New Roman"/>
          <w:color w:val="000000" w:themeColor="text1"/>
        </w:rPr>
        <w:t>, &amp; Friedman, 2009; Murphy, 2012)</w:t>
      </w:r>
      <w:r w:rsidR="009E1D53">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 xml:space="preserve">Russell and Norvig emphasize that performance hinges not only on the learning algorithm but also on the inductive bias encoded by this space: highly constrained spaces (such as simple linear models) tend to have higher bias but lower variance, while very flexible spaces (such as high-degree </w:t>
      </w:r>
      <w:r w:rsidRPr="009D3BBA">
        <w:rPr>
          <w:rFonts w:ascii="Times New Roman" w:hAnsi="Times New Roman" w:cs="Times New Roman"/>
          <w:color w:val="000000" w:themeColor="text1"/>
        </w:rPr>
        <w:lastRenderedPageBreak/>
        <w:t>polynomials or complex kernel machines) can fit training data closely at the cost of increased variance and potential overfitting. In this project, the comparison among Multinomial Naive Bayes, K-Nearest Neighbors, Random Forest, Linear SVM, and RBF-kernel SVM can be read precisely as a comparison among different hypothesis classes and their associated bias–variance trade-offs. Naive Bayes, for example, imposes a strong independence assumption on features, introducing bias but often yielding robust performance in high-dimensional sparse spaces; KNN and RBF-SVM, by contrast, have high capacity and hence higher variance, making them more sensitive to sample idiosyncrasies and computationally heavier on a corpus with over half a million examples.</w:t>
      </w:r>
    </w:p>
    <w:p w14:paraId="2833D822"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empirical result that a Linear SVM trained on the 5,000-dimensional character-level TF-IDF representation outperforms the more flexible RBF-kernel SVM aligns with Russell and Norvig's general observation that, in text domains, simple linear models frequently offer an excellent bias–variance compromise. Because TF-IDF features in sparse high-dimensional spaces often render class boundaries approximately linear, a well-regularized linear SVM can exploit this structure to maximize margin and generalize effectively, whereas non-linear kernels may expend capacity on fitting noise, especially in the presence of class imbalance and potential data leakage. This is reflected in the performance hierarchy observed here: Linear SVM achieves the highest test accuracy and macro-averaged F1, with Naive Bayes and Random Forest performing slightly worse, and KNN and RBF-SVM trailing further behind despite their greater expressive power.</w:t>
      </w:r>
    </w:p>
    <w:p w14:paraId="67F74B05"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2.2 Generalization and Evaluation Practice</w:t>
      </w:r>
    </w:p>
    <w:p w14:paraId="1505E146"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Evaluation practice in the project also follows the principles laid out in the supervised-learning framework. Russell and Norvig stress that the real test of a hypothesis is its generalization to inputs not seen during training, which motivates partitioning the data into separate training and test sets and, where possible, examining learning curves that plot performance as a function of training-set size. In this work, the corpus is split into an 80/20 stratified train–test division that preserves the observed 70–19–10 genre proportions, and model comparison is conducted primarily on the held-out test data rather than on training accuracy alone. Although full learning-curve analysis remains a task for future work, the combination of a </w:t>
      </w:r>
      <w:proofErr w:type="gramStart"/>
      <w:r w:rsidRPr="009D3BBA">
        <w:rPr>
          <w:rFonts w:ascii="Times New Roman" w:hAnsi="Times New Roman" w:cs="Times New Roman"/>
          <w:color w:val="000000" w:themeColor="text1"/>
        </w:rPr>
        <w:t>large labeled</w:t>
      </w:r>
      <w:proofErr w:type="gramEnd"/>
      <w:r w:rsidRPr="009D3BBA">
        <w:rPr>
          <w:rFonts w:ascii="Times New Roman" w:hAnsi="Times New Roman" w:cs="Times New Roman"/>
          <w:color w:val="000000" w:themeColor="text1"/>
        </w:rPr>
        <w:t xml:space="preserve"> corpus and the observed improvements when moving from simpler to better-matched models (e.g., Naive Bayes to Linear SVM) is consistent with the "more data, better models" pattern documented in canonical treatments of supervised learning. At the same time, the project's own critique—especially regarding document-level leakage and temporal mismatch—shows an awareness that generalization should eventually be tested under stricter splitting regimes (e.g., document-level or period-based splits) to align fully with best practices in machine-learning evaluation.</w:t>
      </w:r>
    </w:p>
    <w:p w14:paraId="1DA007D5"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lastRenderedPageBreak/>
        <w:t>2.3 Complementary Perspective: Parametric vs. Non-Parametric Models</w:t>
      </w:r>
    </w:p>
    <w:p w14:paraId="1F59423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Before describing the data preparation and modeling workflow in detail, it is essential to establish additional theoretical foundations that guide algorithm selection for text classification. Machine learning approaches can be broadly categorized as parametric or non-parametric, each with distinct assumptions, advantages, and limitations that shape their suitability for high-dimensional text data.</w:t>
      </w:r>
    </w:p>
    <w:p w14:paraId="3E4DBE33" w14:textId="77777777" w:rsidR="00FD3611" w:rsidRPr="009D3BBA" w:rsidRDefault="00000000" w:rsidP="009D3BBA">
      <w:pPr>
        <w:pStyle w:val="Heading3"/>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2.3.1 Parametric Models</w:t>
      </w:r>
    </w:p>
    <w:p w14:paraId="4786874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Parametric models are characterized by a fixed number of parameters that define the underlying data distribution. These models make specific assumptions about the form of the relationship between features and target variables. For text classification, logistic regression and linear support vector machines represent common parametric approaches, assuming a linear relationship between features and class boundaries.</w:t>
      </w:r>
    </w:p>
    <w:p w14:paraId="0F00F6C8"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A key characteristic of parametric models is that their complexity does not grow with the training data size. Once trained, they require only storage of the learned parameters (coefficients and intercepts), making them highly efficient for deployment. For example, a Linear SVM trained on 5,000-dimensional TF-IDF features requires storing approximately 15,000 coefficients (5,000 features × 3 classes), regardless of the training set size. This efficiency is particularly important for large corpora like the 625,468 text chunks used in this project.</w:t>
      </w:r>
    </w:p>
    <w:p w14:paraId="3308026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assumption of linearity brings both benefits and limitations. For text data represented through TF-IDF or similar bag-of-words approaches, class boundaries are often approximately linear in high-dimensional feature spaces. This characteristic, sometimes called the blessing of dimensionality in text classification, means that simple linear models can capture essential distinctions between genres without the risk of overfitting that plagues more flexible models in high-dimensional settings. However, parametric models may underfit when genuine non-linearities exist in the data—for instance, when genre differences depend on complex interactions among character combinations that cannot be captured by linear weights alone.</w:t>
      </w:r>
    </w:p>
    <w:p w14:paraId="55517958" w14:textId="77777777" w:rsidR="00FD3611" w:rsidRPr="009D3BBA" w:rsidRDefault="00000000" w:rsidP="009D3BBA">
      <w:pPr>
        <w:pStyle w:val="Heading3"/>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2.3.2 Non-Parametric Models</w:t>
      </w:r>
    </w:p>
    <w:p w14:paraId="31A900D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Non-parametric models make minimal assumptions about the underlying data distribution and allow their complexity to grow with the training data size. K-Nearest Neighbors (KNN) exemplifies a pure non-parametric approach: it makes no assumptions about the functional form relating features to classes, instead storing the entire training set and making predictions based on local neighborhoods in feature space. Random Forest represents a semi-parametric approach, growing a flexible ensemble of decision trees that can capture complex, non-linear decision boundaries.</w:t>
      </w:r>
    </w:p>
    <w:p w14:paraId="3B91B96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lastRenderedPageBreak/>
        <w:t>The flexibility of non-parametric models comes with significant computational costs. KNN must compare each test instance against all training examples, making prediction time proportional to the training set size. For a corpus of 500,000+ training chunks represented in 5,000 dimensions, this means millions of distance calculations per prediction. Random Forest mitigates this somewhat by aggregating predictions across multiple trees, but both model storage and prediction time still scale with training data size.</w:t>
      </w:r>
    </w:p>
    <w:p w14:paraId="60819B73"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More critically, non-parametric models suffer from the curse of dimensionality—as feature space dimensionality increases, the notion of "nearness" becomes less meaningful because all points become roughly equidistant from each other. In 5,000-dimensional TF-IDF space, even genuinely similar text chunks may appear distant due to the sparsity of the representation, undermining the locality assumptions that make KNN effective in low-dimensional settings. This explains why KNN performs poorly despite its theoretical flexibility: the high-dimensional sparse representation violates its core assumptions about meaningful local neighborhoods.</w:t>
      </w:r>
    </w:p>
    <w:p w14:paraId="6735631E" w14:textId="77777777" w:rsidR="00FD3611" w:rsidRPr="009D3BBA" w:rsidRDefault="00000000" w:rsidP="009D3BBA">
      <w:pPr>
        <w:pStyle w:val="Heading3"/>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2.3.3 K-Nearest Neighbors in Detail</w:t>
      </w:r>
    </w:p>
    <w:p w14:paraId="062855A9" w14:textId="6B222FEA"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K-Nearest Neighbors </w:t>
      </w:r>
      <w:r w:rsidR="009E1D53" w:rsidRPr="009E1D53">
        <w:rPr>
          <w:rFonts w:ascii="Times New Roman" w:hAnsi="Times New Roman" w:cs="Times New Roman"/>
          <w:color w:val="000000" w:themeColor="text1"/>
        </w:rPr>
        <w:t>(Cover &amp; Hart, 1967)</w:t>
      </w:r>
      <w:r w:rsidR="009E1D53">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is a non-parametric, instance-based learning algorithm that makes predictions based on the similarity between a new instance and its k closest neighbors in the training set. For classification tasks, KNN assigns the most common class among the k neighbors through majority voting. Given a test input x, the algorithm identifies the k training examples with minimum distance to x using a distance metric (typically Euclidean distance or cosine similarity for text).</w:t>
      </w:r>
    </w:p>
    <w:p w14:paraId="546AED1D"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KNN is characterized as a lazy learner because it does not learn from the training set during a dedicated training phase. Instead, it stores the entire dataset in memory and performs all computations at prediction time. This means there is no explicit model building step; the algorithm simply memorizes the training data and uses it directly for classification.</w:t>
      </w:r>
    </w:p>
    <w:p w14:paraId="25175EA2"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value of k represents the number of neighbors considered when making a prediction. Selecting an appropriate k is crucial for optimal performance. Small k values (e.g., k=1) make the algorithm sensitive to noise and outliers, potentially causing overfitting. Large k values smooth out predictions but may lead to underfitting by oversimplifying decision boundaries. Methods for selecting k include cross-validation, where k is chosen based on validation set performance, and the elbow method, which plots error rates against different k values to identify the point of diminishing returns.</w:t>
      </w:r>
    </w:p>
    <w:p w14:paraId="0C963250" w14:textId="77777777" w:rsidR="00FD3611" w:rsidRPr="009D3BBA" w:rsidRDefault="00000000" w:rsidP="009D3BBA">
      <w:pPr>
        <w:pStyle w:val="Heading3"/>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The Curse of Dimensionality</w:t>
      </w:r>
    </w:p>
    <w:p w14:paraId="7914E92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A critical challenge for KNN in text classification is the curse of dimensionality. In high-dimensional spaces, distance metrics become less meaningful because all points tend to </w:t>
      </w:r>
      <w:r w:rsidRPr="009D3BBA">
        <w:rPr>
          <w:rFonts w:ascii="Times New Roman" w:hAnsi="Times New Roman" w:cs="Times New Roman"/>
          <w:color w:val="000000" w:themeColor="text1"/>
        </w:rPr>
        <w:lastRenderedPageBreak/>
        <w:t>be approximately equidistant from each other. Consider a unit hypercube with n uniformly distributed training examples in d dimensions. The edge length ℓ of the smallest hypercube containing k neighbors grows as ℓ ≈ (k/</w:t>
      </w:r>
      <w:proofErr w:type="gramStart"/>
      <w:r w:rsidRPr="009D3BBA">
        <w:rPr>
          <w:rFonts w:ascii="Times New Roman" w:hAnsi="Times New Roman" w:cs="Times New Roman"/>
          <w:color w:val="000000" w:themeColor="text1"/>
        </w:rPr>
        <w:t>n)^</w:t>
      </w:r>
      <w:proofErr w:type="gramEnd"/>
      <w:r w:rsidRPr="009D3BBA">
        <w:rPr>
          <w:rFonts w:ascii="Times New Roman" w:hAnsi="Times New Roman" w:cs="Times New Roman"/>
          <w:color w:val="000000" w:themeColor="text1"/>
        </w:rPr>
        <w:t>(1/d). For n=1000 and k=10, in 2 dimensions ℓ ≈ 0.10 (neighbors are truly nearby), but in 100 dimensions ℓ ≈ 0.955 (neighbors fill almost the entire space), and in 1000 dimensions ℓ ≈ 0.9954 (neighbors span virtually the entire space).</w:t>
      </w:r>
    </w:p>
    <w:p w14:paraId="32413896"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This phenomenon means that in high-dimensional spaces, the concept of nearest neighbors breaks down—the k nearest neighbors </w:t>
      </w:r>
      <w:proofErr w:type="gramStart"/>
      <w:r w:rsidRPr="009D3BBA">
        <w:rPr>
          <w:rFonts w:ascii="Times New Roman" w:hAnsi="Times New Roman" w:cs="Times New Roman"/>
          <w:color w:val="000000" w:themeColor="text1"/>
        </w:rPr>
        <w:t>are</w:t>
      </w:r>
      <w:proofErr w:type="gramEnd"/>
      <w:r w:rsidRPr="009D3BBA">
        <w:rPr>
          <w:rFonts w:ascii="Times New Roman" w:hAnsi="Times New Roman" w:cs="Times New Roman"/>
          <w:color w:val="000000" w:themeColor="text1"/>
        </w:rPr>
        <w:t xml:space="preserve"> no longer meaningfully close to the query point. For text classification with TF-IDF representations that can easily have thousands of dimensions (as in this project with character-level features), this presents a significant computational and theoretical challenge. However, real-world text data often exhibits lower-dimensional structure within high-dimensional spaces, with documents lying on lower-dimensional manifolds reflecting underlying semantic structures.</w:t>
      </w:r>
    </w:p>
    <w:p w14:paraId="0B24ADFC" w14:textId="77777777" w:rsidR="00FD3611" w:rsidRPr="009D3BBA" w:rsidRDefault="00000000" w:rsidP="009D3BBA">
      <w:pPr>
        <w:pStyle w:val="Heading3"/>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2.3.4 Random Forest</w:t>
      </w:r>
    </w:p>
    <w:p w14:paraId="193347B5" w14:textId="20CC5986"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Random Forest </w:t>
      </w:r>
      <w:r w:rsidR="009E1D53" w:rsidRPr="009E1D53">
        <w:rPr>
          <w:rFonts w:ascii="Times New Roman" w:hAnsi="Times New Roman" w:cs="Times New Roman"/>
          <w:color w:val="000000" w:themeColor="text1"/>
        </w:rPr>
        <w:t>(</w:t>
      </w:r>
      <w:proofErr w:type="spellStart"/>
      <w:r w:rsidR="009E1D53" w:rsidRPr="009E1D53">
        <w:rPr>
          <w:rFonts w:ascii="Times New Roman" w:hAnsi="Times New Roman" w:cs="Times New Roman"/>
          <w:color w:val="000000" w:themeColor="text1"/>
        </w:rPr>
        <w:t>Breiman</w:t>
      </w:r>
      <w:proofErr w:type="spellEnd"/>
      <w:r w:rsidR="009E1D53" w:rsidRPr="009E1D53">
        <w:rPr>
          <w:rFonts w:ascii="Times New Roman" w:hAnsi="Times New Roman" w:cs="Times New Roman"/>
          <w:color w:val="000000" w:themeColor="text1"/>
        </w:rPr>
        <w:t>, 2001)</w:t>
      </w:r>
      <w:r w:rsidR="009E1D53">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 xml:space="preserve">is an ensemble learning method that constructs multiple decision trees during training and outputs the class that is the mode of the individual tree predictions for classification tasks. This approach leverages the wisdom of </w:t>
      </w:r>
      <w:proofErr w:type="gramStart"/>
      <w:r w:rsidRPr="009D3BBA">
        <w:rPr>
          <w:rFonts w:ascii="Times New Roman" w:hAnsi="Times New Roman" w:cs="Times New Roman"/>
          <w:color w:val="000000" w:themeColor="text1"/>
        </w:rPr>
        <w:t>crowds</w:t>
      </w:r>
      <w:proofErr w:type="gramEnd"/>
      <w:r w:rsidRPr="009D3BBA">
        <w:rPr>
          <w:rFonts w:ascii="Times New Roman" w:hAnsi="Times New Roman" w:cs="Times New Roman"/>
          <w:color w:val="000000" w:themeColor="text1"/>
        </w:rPr>
        <w:t xml:space="preserve"> principle, where combining multiple weak learners produces a stronger overall model. The power of Random Forest derives from two key mechanisms: bootstrap aggregating (bagging), which creates diversity among trees by training each on a random subset of the data sampled with replacement, and feature randomness, which ensures that each split in each tree considers only a random subset of features, preventing individual trees from being too correlated and reducing overfitting.</w:t>
      </w:r>
    </w:p>
    <w:p w14:paraId="5F52B63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For text classification, Random Forest offers several advantages: high accuracy through ensemble voting, robustness to missing values, efficient processing of high-dimensional data, reduced overfitting compared to single decision trees, and the ability to provide feature importance scores that reveal which characters or character combinations contribute most to classification decisions. The comparison with single decision trees is instructive: while a single tree makes predictions based on one learned path, Random Forest aggregates predictions from multiple diverse trees, significantly improving robustness and accuracy by averaging out idiosyncrasies across many trees.</w:t>
      </w:r>
    </w:p>
    <w:p w14:paraId="0324E5BA"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3. Data Cleaning and Preparation</w:t>
      </w:r>
    </w:p>
    <w:p w14:paraId="398DB536"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raw corpus begins as a collection of .txt files organized in a directory structure where each subfolder corresponds to a genre. All cleaning and preparation </w:t>
      </w:r>
      <w:proofErr w:type="gramStart"/>
      <w:r w:rsidRPr="009D3BBA">
        <w:rPr>
          <w:rFonts w:ascii="Times New Roman" w:hAnsi="Times New Roman" w:cs="Times New Roman"/>
          <w:color w:val="000000" w:themeColor="text1"/>
        </w:rPr>
        <w:t>is</w:t>
      </w:r>
      <w:proofErr w:type="gramEnd"/>
      <w:r w:rsidRPr="009D3BBA">
        <w:rPr>
          <w:rFonts w:ascii="Times New Roman" w:hAnsi="Times New Roman" w:cs="Times New Roman"/>
          <w:color w:val="000000" w:themeColor="text1"/>
        </w:rPr>
        <w:t xml:space="preserve"> performed in a Python notebook that sets up a virtual environment, installs standard data-science libraries, and defines paths and hyperparameters for text processing. The guiding principle of the cleaning strategy is to preserve as much of the original Classical Chinese </w:t>
      </w:r>
      <w:r w:rsidRPr="009D3BBA">
        <w:rPr>
          <w:rFonts w:ascii="Times New Roman" w:hAnsi="Times New Roman" w:cs="Times New Roman"/>
          <w:color w:val="000000" w:themeColor="text1"/>
        </w:rPr>
        <w:lastRenderedPageBreak/>
        <w:t>text as possible while ensuring that the resulting dataset is machine-readable and consistent across documents.</w:t>
      </w:r>
    </w:p>
    <w:p w14:paraId="0C6DABA5"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3.1 Text Ingestion and Encoding Handling</w:t>
      </w:r>
    </w:p>
    <w:p w14:paraId="665E86F2"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notebook defines a function to read all .txt files from a given folder, returning a list of tuples containing the raw text, the label, and the filename. A key challenge is character encoding: Classical Chinese texts may be encoded in various formats, including UTF-8, GB18030, or Big5, depending on their source and digitization history. To handle this variability robustly, the reading function attempts UTF-8 first and falls back to GB18030 on decoding errors. If both encodings fail, the function logs an error and skips the problematic file. This approach ensures that </w:t>
      </w:r>
      <w:proofErr w:type="gramStart"/>
      <w:r w:rsidRPr="009D3BBA">
        <w:rPr>
          <w:rFonts w:ascii="Times New Roman" w:hAnsi="Times New Roman" w:cs="Times New Roman"/>
          <w:color w:val="000000" w:themeColor="text1"/>
        </w:rPr>
        <w:t>the majority of</w:t>
      </w:r>
      <w:proofErr w:type="gramEnd"/>
      <w:r w:rsidRPr="009D3BBA">
        <w:rPr>
          <w:rFonts w:ascii="Times New Roman" w:hAnsi="Times New Roman" w:cs="Times New Roman"/>
          <w:color w:val="000000" w:themeColor="text1"/>
        </w:rPr>
        <w:t xml:space="preserve"> files are read correctly while isolating encoding issues that would otherwise crash the entire pipeline.</w:t>
      </w:r>
    </w:p>
    <w:p w14:paraId="536BDFFC"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Once loaded, the raw texts are visually inspected for anomalies. Typical issues include trailing whitespace, repeated punctuation, or spurious line breaks introduced during OCR or digitization. These anomalies are noted during exploration and inform the subsequent cleaning steps. At this stage, no aggressive transformations are applied; the goal is simply to get all texts into a uniform Python data structure for further processing.</w:t>
      </w:r>
    </w:p>
    <w:p w14:paraId="6C7C99DD"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3.2 Text Normalization and Chunking</w:t>
      </w:r>
    </w:p>
    <w:p w14:paraId="0327B2E4"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After loading, each text undergoes normalization. This includes stripping leading and trailing whitespace, removing extraneous blank lines, and optionally replacing certain punctuation marks with standardized equivalents to reduce noise. Because Classical Chinese does not use spaces to separate words, and because the texts vary in their use of punctuation, the cleaning is deliberately conservative: it removes clear artifacts but leaves the original character sequence intact as much as possible.</w:t>
      </w:r>
    </w:p>
    <w:p w14:paraId="25069532"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normalized texts are then split into chunks using a RecursiveCharacterTextSplitter from the LangChain library. This splitter is configured with a list of separators that correspond to common Chinese punctuation marks, such as the ideographic full stop (</w:t>
      </w:r>
      <w:r w:rsidRPr="009D3BBA">
        <w:rPr>
          <w:rFonts w:ascii="Times New Roman" w:hAnsi="Times New Roman" w:cs="Times New Roman"/>
          <w:color w:val="000000" w:themeColor="text1"/>
        </w:rPr>
        <w:t>。</w:t>
      </w:r>
      <w:r w:rsidRPr="009D3BBA">
        <w:rPr>
          <w:rFonts w:ascii="Times New Roman" w:hAnsi="Times New Roman" w:cs="Times New Roman"/>
          <w:color w:val="000000" w:themeColor="text1"/>
        </w:rPr>
        <w:t>), ideographic comma (</w:t>
      </w:r>
      <w:r w:rsidRPr="009D3BBA">
        <w:rPr>
          <w:rFonts w:ascii="Times New Roman" w:hAnsi="Times New Roman" w:cs="Times New Roman"/>
          <w:color w:val="000000" w:themeColor="text1"/>
        </w:rPr>
        <w:t>，</w:t>
      </w:r>
      <w:r w:rsidRPr="009D3BBA">
        <w:rPr>
          <w:rFonts w:ascii="Times New Roman" w:hAnsi="Times New Roman" w:cs="Times New Roman"/>
          <w:color w:val="000000" w:themeColor="text1"/>
        </w:rPr>
        <w:t>), and others. The splitter attempts to break at these marks first, falling back to arbitrary character boundaries only if necessary. The chunk size parameter is set to create segments short enough for local classification but long enough to contain meaningful context. In this project, the effective average chunk size is approximately 22.6 characters, which corresponds roughly to one or two clauses in Classical Chinese prose.</w:t>
      </w:r>
    </w:p>
    <w:p w14:paraId="089653C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Each chunk is paired with its inherited genre label and source filename, forming a single observation in the dataset. The result is a DataFrame with columns for 'text', 'label', 'source', and 'chunk_id', ready for feature extraction and modeling. This design allows the dataset to be easily filtered, sampled, or stratified by label or source during train-test splitting.</w:t>
      </w:r>
    </w:p>
    <w:p w14:paraId="0A186451"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lastRenderedPageBreak/>
        <w:t>3.3 Exploratory Data Analysis</w:t>
      </w:r>
    </w:p>
    <w:p w14:paraId="64CD304B"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Before modeling, the cleaned dataset is explored through summary statistics and visualizations. Basic statistics confirm the class imbalance and reveal the distribution of chunk lengths. Visualizations include bar charts showing the number of chunks per genre, boxplots of chunk length distributions across genres, and histograms of character frequencies. These plots confirm that the three genres exhibit somewhat different stylistic profiles even at the character level, which is encouraging for supervised classification.</w:t>
      </w:r>
    </w:p>
    <w:p w14:paraId="2EC2A848"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exploration also identifies potential issues. For example, certain source documents contribute disproportionately many chunks, which may lead to document-specific overfitting if those chunks are split across training and test sets. Similarly, the temporal heterogeneity of the corpus—mixing Pre-Qin and Song-Ming texts—is visible in the variation of character usage and may complicate genre classification. These observations guide the modeling strategy and inform the critical assessment of results.</w:t>
      </w:r>
    </w:p>
    <w:p w14:paraId="7CBE8F5F"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4. Modeling Workflow and Results</w:t>
      </w:r>
    </w:p>
    <w:p w14:paraId="358F18B6" w14:textId="347F804D"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modeling phase implements a standard supervised learning workflow: feature extraction, train-test splitting, model training, and evaluation. The goal is to compare multiple classification algorithms and identify which performs best on this </w:t>
      </w:r>
      <w:proofErr w:type="gramStart"/>
      <w:r w:rsidRPr="009D3BBA">
        <w:rPr>
          <w:rFonts w:ascii="Times New Roman" w:hAnsi="Times New Roman" w:cs="Times New Roman"/>
          <w:color w:val="000000" w:themeColor="text1"/>
        </w:rPr>
        <w:t>particular dataset</w:t>
      </w:r>
      <w:proofErr w:type="gramEnd"/>
      <w:r w:rsidRPr="009D3BBA">
        <w:rPr>
          <w:rFonts w:ascii="Times New Roman" w:hAnsi="Times New Roman" w:cs="Times New Roman"/>
          <w:color w:val="000000" w:themeColor="text1"/>
        </w:rPr>
        <w:t>, while also understanding the trade-offs between accuracy, interpretability, and computational efficiency.</w:t>
      </w:r>
      <w:r w:rsidR="009E1D53">
        <w:rPr>
          <w:rFonts w:ascii="Times New Roman" w:hAnsi="Times New Roman" w:cs="Times New Roman"/>
          <w:color w:val="000000" w:themeColor="text1"/>
        </w:rPr>
        <w:t xml:space="preserve"> </w:t>
      </w:r>
      <w:r w:rsidR="009E1D53" w:rsidRPr="009E1D53">
        <w:rPr>
          <w:rFonts w:ascii="Times New Roman" w:hAnsi="Times New Roman" w:cs="Times New Roman"/>
          <w:color w:val="000000" w:themeColor="text1"/>
        </w:rPr>
        <w:t>All models were implemented using scikit-learn (Pedregosa et al., 2011)</w:t>
      </w:r>
      <w:r w:rsidR="009E1D53">
        <w:rPr>
          <w:rFonts w:ascii="Times New Roman" w:hAnsi="Times New Roman" w:cs="Times New Roman"/>
          <w:color w:val="000000" w:themeColor="text1"/>
        </w:rPr>
        <w:t>.</w:t>
      </w:r>
    </w:p>
    <w:p w14:paraId="4DB3D8DB"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4.1 Feature Extraction with TF-IDF</w:t>
      </w:r>
    </w:p>
    <w:p w14:paraId="0793222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feature representation is based on character-level TF-IDF (Term Frequency-Inverse Document Frequency). Unlike word-level approaches that require tokenization, character-level features are natural for Classical Chinese, which does not use explicit word boundaries. The TF-IDF vectorizer is configured to extract character unigrams, bigrams, and trigrams, capturing both individual characters and short multi-character sequences that may be idiomatically meaningful.</w:t>
      </w:r>
    </w:p>
    <w:p w14:paraId="3290F3ED"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vectorizer is fitted on the training set and then applied to both training and test chunks. This produces a high-dimensional sparse matrix where each row corresponds to a chunk and each column to a character or character n-gram. The dimensionality is typically in the thousands or tens of thousands, reflecting the richness of the Classical Chinese character inventory and the combinatorial possibilities of bigrams and trigrams. Despite this high dimensionality, the matrices remain sparse because any given chunk uses only a small subset of the possible features.</w:t>
      </w:r>
    </w:p>
    <w:p w14:paraId="7DEA9DD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TF-IDF weighting is crucial because it downweights very common characters (such as frequent function words) that appear across all genres and upweights distinctive </w:t>
      </w:r>
      <w:r w:rsidRPr="009D3BBA">
        <w:rPr>
          <w:rFonts w:ascii="Times New Roman" w:hAnsi="Times New Roman" w:cs="Times New Roman"/>
          <w:color w:val="000000" w:themeColor="text1"/>
        </w:rPr>
        <w:lastRenderedPageBreak/>
        <w:t>characters that are more genre-specific. This reweighting improves classification by making the feature space more discriminative. The resulting feature matrix serves as input to all subsequent classifiers.</w:t>
      </w:r>
    </w:p>
    <w:p w14:paraId="2CB54926"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4.2 Train-Test Split and Evaluation Strategy</w:t>
      </w:r>
    </w:p>
    <w:p w14:paraId="41C3F1C6"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dataset is divided into training and test sets using a standard 80-20 split at the chunk level. Because chunks are the unit of observation, the split is performed on the full DataFrame of chunks rather than on documents. This design choice means that multiple chunks from the same document may appear in both training and test sets, which, as noted earlier, risks data leakage. However, for an initial proof of concept, this approach maximizes the size of both training and test sets and allows for a straightforward evaluation of classification performance.</w:t>
      </w:r>
    </w:p>
    <w:p w14:paraId="151F10E6"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Evaluation focuses on multiple metrics to account for class imbalance. Overall accuracy measures the proportion of correctly classified chunks but can be misleading if the classifier simply predicts the majority class. Therefore, per-class precision, recall, and F1 scores are also computed and aggregated into macro-averaged metrics that treat all classes equally regardless of their frequency. Confusion matrices visualize the pattern of correct and incorrect predictions across the three genres, revealing which pairs of genres are most easily confused.</w:t>
      </w:r>
    </w:p>
    <w:p w14:paraId="63D80478"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4.3 Model Selection and Comparison</w:t>
      </w:r>
    </w:p>
    <w:p w14:paraId="71306348"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Multiple classification algorithms are trained and evaluated on the same train-test split to enable direct comparison. The models tested include Multinomial Naive Bayes, which assumes feature independence and is well-suited to sparse text data; Logistic Regression with L2 regularization, which provides a linear parametric baseline; Linear Support Vector Machine (SVM), which seeks a maximum-margin linear decision boundary; RBF-kernel SVM, which can capture non-linear patterns through kernel transformations; and K-Nearest Neighbors (KNN) with various k values, which classifies based on local similarity.</w:t>
      </w:r>
    </w:p>
    <w:p w14:paraId="685DAC60"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results show that Linear SVM achieves the highest overall accuracy at approximately 91.96%, followed closely by Logistic Regression at 91.52% and Naive Bayes at 91.28%. These linear models perform exceptionally well on the high-dimensional sparse TF-IDF features, confirming the intuition that genre distinctions in Classical Chinese text can be largely captured by linear combinations of character n-gram frequencies. The RBF-kernel SVM, while theoretically capable of modeling non-linear decision boundaries, does not improve upon the linear models and requires significantly more computation time due to the kernel calculations.</w:t>
      </w:r>
    </w:p>
    <w:p w14:paraId="6CAADC6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K-Nearest Neighbors shows more modest performance, with accuracy around 85-88% depending on the choice of k. The algorithm's sensitivity to the curse of dimensionality is </w:t>
      </w:r>
      <w:r w:rsidRPr="009D3BBA">
        <w:rPr>
          <w:rFonts w:ascii="Times New Roman" w:hAnsi="Times New Roman" w:cs="Times New Roman"/>
          <w:color w:val="000000" w:themeColor="text1"/>
        </w:rPr>
        <w:lastRenderedPageBreak/>
        <w:t>evident: in the high-dimensional TF-IDF space, the notion of 'nearest neighbor' becomes less meaningful, and the algorithm struggles to achieve the same discriminative power as linear classifiers. Additionally, KNN's prediction time grows with the size of the training set, making it less practical for large-scale deployment.</w:t>
      </w:r>
    </w:p>
    <w:p w14:paraId="71D55897"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4.4 Confusion Matrix Analysis</w:t>
      </w:r>
    </w:p>
    <w:p w14:paraId="20B49384" w14:textId="5FC35D8A" w:rsidR="00FD3611"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confusion matrix</w:t>
      </w:r>
      <w:r w:rsidR="005249F7">
        <w:rPr>
          <w:rFonts w:ascii="Times New Roman" w:hAnsi="Times New Roman" w:cs="Times New Roman"/>
          <w:color w:val="000000" w:themeColor="text1"/>
        </w:rPr>
        <w:t xml:space="preserve"> (Fig. 3)</w:t>
      </w:r>
      <w:r w:rsidRPr="009D3BBA">
        <w:rPr>
          <w:rFonts w:ascii="Times New Roman" w:hAnsi="Times New Roman" w:cs="Times New Roman"/>
          <w:color w:val="000000" w:themeColor="text1"/>
        </w:rPr>
        <w:t xml:space="preserve"> for the best-performing model (Linear SVM) reveals the pattern of misclassifications across the three genres. The diagonal entries, representing correct classifications, are substantially larger than the off-diagonal entries, confirming high overall accuracy. However, certain confusions are more common than others. Specifically, some chunks labeled as Neo-Confucianism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are misclassified as School-of-Mind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and vice versa. This is not surprising given the historical and intellectual proximity of these two philosophical movements, which share much vocabulary and rhetorical structure even as they diverge on key doctrinal points.</w:t>
      </w:r>
    </w:p>
    <w:p w14:paraId="41123FA3" w14:textId="588DFD7B" w:rsidR="005249F7" w:rsidRDefault="005249F7" w:rsidP="009D3BBA">
      <w:pPr>
        <w:jc w:val="both"/>
        <w:rPr>
          <w:rFonts w:ascii="Times New Roman" w:hAnsi="Times New Roman" w:cs="Times New Roman"/>
          <w:color w:val="000000" w:themeColor="text1"/>
        </w:rPr>
      </w:pPr>
      <w:r w:rsidRPr="005249F7">
        <w:rPr>
          <w:rFonts w:ascii="Times New Roman" w:hAnsi="Times New Roman" w:cs="Times New Roman"/>
          <w:noProof/>
          <w:color w:val="000000" w:themeColor="text1"/>
        </w:rPr>
        <w:drawing>
          <wp:inline distT="0" distB="0" distL="0" distR="0" wp14:anchorId="5A423126" wp14:editId="7BF74BA1">
            <wp:extent cx="3848100" cy="2984500"/>
            <wp:effectExtent l="0" t="0" r="0" b="0"/>
            <wp:docPr id="4858764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6448" name="Picture 1" descr="A screenshot of a graph&#10;&#10;AI-generated content may be incorrect."/>
                    <pic:cNvPicPr/>
                  </pic:nvPicPr>
                  <pic:blipFill>
                    <a:blip r:embed="rId8"/>
                    <a:stretch>
                      <a:fillRect/>
                    </a:stretch>
                  </pic:blipFill>
                  <pic:spPr>
                    <a:xfrm>
                      <a:off x="0" y="0"/>
                      <a:ext cx="3848100" cy="2984500"/>
                    </a:xfrm>
                    <a:prstGeom prst="rect">
                      <a:avLst/>
                    </a:prstGeom>
                  </pic:spPr>
                </pic:pic>
              </a:graphicData>
            </a:graphic>
          </wp:inline>
        </w:drawing>
      </w:r>
    </w:p>
    <w:p w14:paraId="54E77253" w14:textId="51BF9687" w:rsidR="005249F7" w:rsidRPr="009D3BBA" w:rsidRDefault="005249F7" w:rsidP="009D3BBA">
      <w:pPr>
        <w:jc w:val="both"/>
        <w:rPr>
          <w:rFonts w:ascii="Times New Roman" w:hAnsi="Times New Roman" w:cs="Times New Roman"/>
          <w:color w:val="000000" w:themeColor="text1"/>
        </w:rPr>
      </w:pPr>
      <w:r>
        <w:rPr>
          <w:rFonts w:ascii="Times New Roman" w:hAnsi="Times New Roman" w:cs="Times New Roman"/>
          <w:color w:val="000000" w:themeColor="text1"/>
        </w:rPr>
        <w:t>Fig. 3</w:t>
      </w:r>
    </w:p>
    <w:p w14:paraId="4A8BEFC4"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Confusions between historical texts (</w:t>
      </w:r>
      <w:r w:rsidRPr="009D3BBA">
        <w:rPr>
          <w:rFonts w:ascii="Times New Roman" w:hAnsi="Times New Roman" w:cs="Times New Roman"/>
          <w:color w:val="000000" w:themeColor="text1"/>
        </w:rPr>
        <w:t>宋明史</w:t>
      </w:r>
      <w:r w:rsidRPr="009D3BBA">
        <w:rPr>
          <w:rFonts w:ascii="Times New Roman" w:hAnsi="Times New Roman" w:cs="Times New Roman"/>
          <w:color w:val="000000" w:themeColor="text1"/>
        </w:rPr>
        <w:t>) and either of the philosophical genres are less frequent, suggesting that historical narrative has more distinctive linguistic markers—such as chronological sequencing, proper names, and event-focused vocabulary—that are easier for classifiers to recognize. These patterns align with domain knowledge about Classical Chinese genres and suggest that the classifier is learning genuine stylistic differences rather than spurious correlations.</w:t>
      </w:r>
    </w:p>
    <w:p w14:paraId="757A109C"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lastRenderedPageBreak/>
        <w:t>5. Implementation Architecture for Production Use</w:t>
      </w:r>
    </w:p>
    <w:p w14:paraId="66DC2BC7"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Beyond the experimental validation of different algorithms, this project develops a reusable implementation architecture for categorizing new documents using the trained classifier. This production-oriented component addresses the practical needs of scholars and researchers who wish to apply the genre classifier to new texts, whether single documents or entire corpora, without re-running the entire training pipeline.</w:t>
      </w:r>
    </w:p>
    <w:p w14:paraId="27885BEB"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5.1 The DocumentCategorizer Class</w:t>
      </w:r>
    </w:p>
    <w:p w14:paraId="353B0C0E"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classification system is encapsulated in a DocumentCategorizer class that manages the entire prediction workflow. Upon initialization, the class receives three essential components: a trained classifier model (such as Linear SVM or Logistic Regression), a fitted TF-IDF vectorizer that transforms raw text into numerical feature vectors, and a text splitter that divides documents into chunks for analysis. This design ensures separation of concerns, with each component handling a distinct aspect of the pipeline.</w:t>
      </w:r>
    </w:p>
    <w:p w14:paraId="354A4C14"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When processing a new document, the system first attempts to read the file using multiple character encodings (UTF-8, GB18030, GBK, Big5) to accommodate various Classical Chinese text formats. After successful reading, the text undergoes preprocessing to remove metadata markers commonly found in digitized classical texts, such as title delimiters or section headers. The cleaned text is then split into chunks using the same text splitter used during training, ensuring consistency in chunk size and boundary detection.</w:t>
      </w:r>
    </w:p>
    <w:p w14:paraId="7E5570AE"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Each chunk is independently vectorized using the trained TF-IDF vectorizer, transforming the text into a high-dimensional feature space. The classifier then processes these feature vectors, producing genre predictions for each chunk. When the model supports probabilistic predictions (as with Logistic Regression and Naive Bayes), confidence scores are extracted from the probability distributions; otherwise, a default confidence of 1.0 is assigned. Finally, the system aggregates chunk-level predictions using majority voting to determine the overall document classification, computing detailed statistics including category breakdowns, percentage distributions, and average confidence scores.</w:t>
      </w:r>
    </w:p>
    <w:p w14:paraId="2ED0C61D"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5.2 Batch Processing and Folder Categorization</w:t>
      </w:r>
    </w:p>
    <w:p w14:paraId="1A4D069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DocumentCategorizer class provides methods for both single-document and batch processing. The categorize_document method handles individual files, returning a dictionary with comprehensive prediction results. For larger-scale analysis, the categorize_folder method processes all text files in a specified directory, applying the same classification pipeline to each file and aggregating the results into a list of dictionaries or a </w:t>
      </w:r>
      <w:proofErr w:type="gramStart"/>
      <w:r w:rsidRPr="009D3BBA">
        <w:rPr>
          <w:rFonts w:ascii="Times New Roman" w:hAnsi="Times New Roman" w:cs="Times New Roman"/>
          <w:color w:val="000000" w:themeColor="text1"/>
        </w:rPr>
        <w:t>pandas DataFrame</w:t>
      </w:r>
      <w:proofErr w:type="gramEnd"/>
      <w:r w:rsidRPr="009D3BBA">
        <w:rPr>
          <w:rFonts w:ascii="Times New Roman" w:hAnsi="Times New Roman" w:cs="Times New Roman"/>
          <w:color w:val="000000" w:themeColor="text1"/>
        </w:rPr>
        <w:t xml:space="preserve"> for further analysis and export.</w:t>
      </w:r>
    </w:p>
    <w:p w14:paraId="1803010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lastRenderedPageBreak/>
        <w:t>This batch processing capability is essential for scholarly applications where researchers may need to categorize hundreds or thousands of texts from digital archives. The method includes optional verbose output that displays progress information and summary statistics as processing proceeds, providing transparency and allowing for monitoring of long-running operations. Results can be exported to CSV format for integration with other analytical tools or visualization software.</w:t>
      </w:r>
    </w:p>
    <w:p w14:paraId="464B8DDC"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5.3 Specialized Support for Pre-Qin Texts</w:t>
      </w:r>
    </w:p>
    <w:p w14:paraId="5B8E17B9"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system includes specialized functionality for analyzing pre-Qin period texts through the categorize_pre_qin_corpus method. Pre-Qin texts (prior to 221 BCE) represent foundational works of Chinese philosophy, history, and literature, including major philosophical treatises (</w:t>
      </w:r>
      <w:r w:rsidRPr="009D3BBA">
        <w:rPr>
          <w:rFonts w:ascii="Times New Roman" w:hAnsi="Times New Roman" w:cs="Times New Roman"/>
          <w:color w:val="000000" w:themeColor="text1"/>
        </w:rPr>
        <w:t>諸子百家</w:t>
      </w:r>
      <w:r w:rsidRPr="009D3BBA">
        <w:rPr>
          <w:rFonts w:ascii="Times New Roman" w:hAnsi="Times New Roman" w:cs="Times New Roman"/>
          <w:color w:val="000000" w:themeColor="text1"/>
        </w:rPr>
        <w:t>), historical chronicles, classical poetry, and ritual texts. This method extends the basic classification capabilities with enhanced metadata tracking and genre-specific analysis tailored to this historically significant corpus.</w:t>
      </w:r>
    </w:p>
    <w:p w14:paraId="7530F623"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pre-Qin analysis module automatically extracts and enriches metadata for each text. Text titles are derived from filenames, and the system employs a heuristic mapping to identify the philosophical school associated with each text based on established attributions. Major works such as the Lunyu (</w:t>
      </w:r>
      <w:r w:rsidRPr="009D3BBA">
        <w:rPr>
          <w:rFonts w:ascii="Times New Roman" w:hAnsi="Times New Roman" w:cs="Times New Roman"/>
          <w:color w:val="000000" w:themeColor="text1"/>
        </w:rPr>
        <w:t>論語</w:t>
      </w:r>
      <w:r w:rsidRPr="009D3BBA">
        <w:rPr>
          <w:rFonts w:ascii="Times New Roman" w:hAnsi="Times New Roman" w:cs="Times New Roman"/>
          <w:color w:val="000000" w:themeColor="text1"/>
        </w:rPr>
        <w:t>, Analects) and Mengzi (</w:t>
      </w:r>
      <w:r w:rsidRPr="009D3BBA">
        <w:rPr>
          <w:rFonts w:ascii="Times New Roman" w:hAnsi="Times New Roman" w:cs="Times New Roman"/>
          <w:color w:val="000000" w:themeColor="text1"/>
        </w:rPr>
        <w:t>孟子</w:t>
      </w:r>
      <w:r w:rsidRPr="009D3BBA">
        <w:rPr>
          <w:rFonts w:ascii="Times New Roman" w:hAnsi="Times New Roman" w:cs="Times New Roman"/>
          <w:color w:val="000000" w:themeColor="text1"/>
        </w:rPr>
        <w:t>) are categorized as Confucian, the Daodejing (</w:t>
      </w:r>
      <w:r w:rsidRPr="009D3BBA">
        <w:rPr>
          <w:rFonts w:ascii="Times New Roman" w:hAnsi="Times New Roman" w:cs="Times New Roman"/>
          <w:color w:val="000000" w:themeColor="text1"/>
        </w:rPr>
        <w:t>道德經</w:t>
      </w:r>
      <w:r w:rsidRPr="009D3BBA">
        <w:rPr>
          <w:rFonts w:ascii="Times New Roman" w:hAnsi="Times New Roman" w:cs="Times New Roman"/>
          <w:color w:val="000000" w:themeColor="text1"/>
        </w:rPr>
        <w:t>) and Zhuangzi (</w:t>
      </w:r>
      <w:r w:rsidRPr="009D3BBA">
        <w:rPr>
          <w:rFonts w:ascii="Times New Roman" w:hAnsi="Times New Roman" w:cs="Times New Roman"/>
          <w:color w:val="000000" w:themeColor="text1"/>
        </w:rPr>
        <w:t>莊子</w:t>
      </w:r>
      <w:r w:rsidRPr="009D3BBA">
        <w:rPr>
          <w:rFonts w:ascii="Times New Roman" w:hAnsi="Times New Roman" w:cs="Times New Roman"/>
          <w:color w:val="000000" w:themeColor="text1"/>
        </w:rPr>
        <w:t>) as Daoist, and the Hanfeizi (</w:t>
      </w:r>
      <w:r w:rsidRPr="009D3BBA">
        <w:rPr>
          <w:rFonts w:ascii="Times New Roman" w:hAnsi="Times New Roman" w:cs="Times New Roman"/>
          <w:color w:val="000000" w:themeColor="text1"/>
        </w:rPr>
        <w:t>韓非子</w:t>
      </w:r>
      <w:r w:rsidRPr="009D3BBA">
        <w:rPr>
          <w:rFonts w:ascii="Times New Roman" w:hAnsi="Times New Roman" w:cs="Times New Roman"/>
          <w:color w:val="000000" w:themeColor="text1"/>
        </w:rPr>
        <w:t>) as Legalist. This automated school identification enables analysis of genre distributions across different intellectual traditions.</w:t>
      </w:r>
    </w:p>
    <w:p w14:paraId="725F8610"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Confidence levels are categorized into three tiers to facilitate quality assessment. High confidence predictions (above 80%) indicate strong agreement between chunk-level classifications. Medium confidence predictions (60-80%) suggest reasonable certainty with some variation. Low confidence predictions (below 60%) indicate significant uncertainty, potentially reflecting mixed-genre characteristics or texts that challenge conventional generic boundaries. The method generates comprehensive summary statistics including genre distribution across the corpus, average and median confidence scores, and cross-tabulations of genres by philosophical schools, revealing patterns such as whether certain traditions predominantly employ specific genres.</w:t>
      </w:r>
    </w:p>
    <w:p w14:paraId="55A6FC7D"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6. Critical Analysis and Future Directions</w:t>
      </w:r>
    </w:p>
    <w:p w14:paraId="023117D0"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project successfully demonstrates that standard supervised machine-learning methods, applied to character-level TF-IDF features, can classify Classical Chinese text chunks into historically and philosophically meaningful genres with reasonably high accuracy. At the same time, closer examination of the data, methods, and results reveals several important limitations and opportunities for improvement. This section identifies </w:t>
      </w:r>
      <w:r w:rsidRPr="009D3BBA">
        <w:rPr>
          <w:rFonts w:ascii="Times New Roman" w:hAnsi="Times New Roman" w:cs="Times New Roman"/>
          <w:color w:val="000000" w:themeColor="text1"/>
        </w:rPr>
        <w:lastRenderedPageBreak/>
        <w:t>major problems, offers a critical self-assessment of methodological choices, and outlines concrete directions for future work.</w:t>
      </w:r>
    </w:p>
    <w:p w14:paraId="306B3638"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6.1 Problem Identification and Methodological Limitations</w:t>
      </w:r>
    </w:p>
    <w:p w14:paraId="1C0BC9E8"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most serious methodological issue is the risk of data leakage due to the chunk-level random train-test split. Because multiple chunks from the same document appear in both training and test sets, models can exploit document-specific patterns—such as unique names, stylistic quirks, or orthographic variants—that recur in both partitions. This can artificially boost performance metrics and obscure how well the models would generalize to entirely unseen documents, authors, or periods. A more stringent evaluation would reserve entire documents, or even entire periods, for testing, thereby eliminating this form of leakage.</w:t>
      </w:r>
    </w:p>
    <w:p w14:paraId="0B4D7F4F"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Class imbalance is another persistent problem. With an uneven distribution across the three genres (</w:t>
      </w:r>
      <w:r w:rsidRPr="009D3BBA">
        <w:rPr>
          <w:rFonts w:ascii="Times New Roman" w:hAnsi="Times New Roman" w:cs="Times New Roman"/>
          <w:color w:val="000000" w:themeColor="text1"/>
        </w:rPr>
        <w:t>心</w:t>
      </w:r>
      <w:r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理</w:t>
      </w:r>
      <w:r w:rsidRPr="009D3BBA">
        <w:rPr>
          <w:rFonts w:ascii="Times New Roman" w:hAnsi="Times New Roman" w:cs="Times New Roman"/>
          <w:color w:val="000000" w:themeColor="text1"/>
        </w:rPr>
        <w:t xml:space="preserve">, </w:t>
      </w:r>
      <w:r w:rsidRPr="009D3BBA">
        <w:rPr>
          <w:rFonts w:ascii="Times New Roman" w:hAnsi="Times New Roman" w:cs="Times New Roman"/>
          <w:color w:val="000000" w:themeColor="text1"/>
        </w:rPr>
        <w:t>宋明史</w:t>
      </w:r>
      <w:r w:rsidRPr="009D3BBA">
        <w:rPr>
          <w:rFonts w:ascii="Times New Roman" w:hAnsi="Times New Roman" w:cs="Times New Roman"/>
          <w:color w:val="000000" w:themeColor="text1"/>
        </w:rPr>
        <w:t xml:space="preserve">), even a naive majority-class classifier would attain non-trivial accuracy, and sophisticated models may still be biased toward predicting the majority class when uncertain. This imbalance hampers recall for minority genres and </w:t>
      </w:r>
      <w:proofErr w:type="gramStart"/>
      <w:r w:rsidRPr="009D3BBA">
        <w:rPr>
          <w:rFonts w:ascii="Times New Roman" w:hAnsi="Times New Roman" w:cs="Times New Roman"/>
          <w:color w:val="000000" w:themeColor="text1"/>
        </w:rPr>
        <w:t>makes</w:t>
      </w:r>
      <w:proofErr w:type="gramEnd"/>
      <w:r w:rsidRPr="009D3BBA">
        <w:rPr>
          <w:rFonts w:ascii="Times New Roman" w:hAnsi="Times New Roman" w:cs="Times New Roman"/>
          <w:color w:val="000000" w:themeColor="text1"/>
        </w:rPr>
        <w:t xml:space="preserve"> macro-averaged metrics especially important. A further complication is the temporal and stylistic heterogeneity of the corpus: treating Pre-Qin and Song-Ming texts as if they were sampled from the same distribution violates the common assumption that training and test data are drawn from similar populations. This raises doubts about how predictive performance would change under more realistic temporal or author-based splits.</w:t>
      </w:r>
    </w:p>
    <w:p w14:paraId="3719ABC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Finally, the chunking strategy itself introduces artifacts. Very short segments, such as headings or half-sentences, may not contain enough information to support reliable genre classification, while very long segments may combine multiple rhetorical moves within a single observation. Moreover, labeling all chunks with their source document's genre ignores the internal heterogeneity of works that combine narrative, commentary, and argument. These design choices simplify the problem but limit the interpretability of both correct and incorrect predictions.</w:t>
      </w:r>
    </w:p>
    <w:p w14:paraId="6EDECB79"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6.2 Critical Self-Assessment</w:t>
      </w:r>
    </w:p>
    <w:p w14:paraId="7430E248"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From a critical standpoint, the project can be seen as a proof of concept rather than a fully mature genre classifier. The choice to work at the chunk level with document-inherited labels is driven by the desire for large sample sizes, but it risks collapsing important distinctions between genre, style, and authorship. A more nuanced approach would treat genre as a property that may vary within documents and might be better modeled at the level of sections or discursive units rather than uniformly across a whole work.</w:t>
      </w:r>
    </w:p>
    <w:p w14:paraId="1265D1A1"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The feature representation, while effective, is also limited. Character-level TF-IDF captures surface patterns in character usage and short idioms but does not directly encode </w:t>
      </w:r>
      <w:r w:rsidRPr="009D3BBA">
        <w:rPr>
          <w:rFonts w:ascii="Times New Roman" w:hAnsi="Times New Roman" w:cs="Times New Roman"/>
          <w:color w:val="000000" w:themeColor="text1"/>
        </w:rPr>
        <w:lastRenderedPageBreak/>
        <w:t>syntactic or semantic structures that may be crucial for distinguishing between nuanced philosophical styles. For example, differences in how School-of-Mind texts discuss mind, heart, and principle may involve patterns that span longer sequences than trigrams or depend on topic-comment structure not directly visible in n-gram statistics. Similarly, the absence of any explicit modeling of temporal information means that the classifier may partially learn to distinguish periods rather than genres.</w:t>
      </w:r>
    </w:p>
    <w:p w14:paraId="6727CF7F"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In addition, evaluation metrics and experimental design could be more comprehensive. Accuracy and single train-test splits give a snapshot of performance, but they do not explore variability across splits, nor do they test generalization under different splitting regimes (e.g., document-level, author-level, or period-based splits). Without such experiments, it is difficult to say how robust the observed 91.96% accuracy would be in settings closer to real-world applications, such as classifying newly digitized texts from different collections.</w:t>
      </w:r>
    </w:p>
    <w:p w14:paraId="7D503C4F" w14:textId="77777777" w:rsidR="00FD3611" w:rsidRPr="009D3BBA" w:rsidRDefault="00000000" w:rsidP="009D3BBA">
      <w:pPr>
        <w:pStyle w:val="Heading2"/>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6.3 Future Improvements and Research Directions</w:t>
      </w:r>
    </w:p>
    <w:p w14:paraId="0A26A89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Future work can address these limitations in several concrete steps. First, the data-splitting strategy should be revised to operate at the document level. Entire documents—ideally grouped by period or author—should be held out as test sets, ensuring that no text from those works appears in training. This will likely reduce accuracy but provide a more realistic estimate of generalization. A related enhancement is to design temporal validation schemes where, for instance, models are trained on Song-Ming texts and tested on Pre-Qin texts, illuminating how genre signals interact with diachronic change.</w:t>
      </w:r>
    </w:p>
    <w:p w14:paraId="081EBFD7"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Second, evaluation should be enriched with cross-validation, detailed per-class metrics, and error analysis that examines misclassified chunks </w:t>
      </w:r>
      <w:proofErr w:type="gramStart"/>
      <w:r w:rsidRPr="009D3BBA">
        <w:rPr>
          <w:rFonts w:ascii="Times New Roman" w:hAnsi="Times New Roman" w:cs="Times New Roman"/>
          <w:color w:val="000000" w:themeColor="text1"/>
        </w:rPr>
        <w:t>in light of</w:t>
      </w:r>
      <w:proofErr w:type="gramEnd"/>
      <w:r w:rsidRPr="009D3BBA">
        <w:rPr>
          <w:rFonts w:ascii="Times New Roman" w:hAnsi="Times New Roman" w:cs="Times New Roman"/>
          <w:color w:val="000000" w:themeColor="text1"/>
        </w:rPr>
        <w:t xml:space="preserve"> their full document contexts. Aggregating chunk-level predictions back to the document level (e.g., by majority vote or probability averaging) could also reveal how well the model performs when used to label entire texts, which is often the more relevant unit for humanities research. Third, the feature space could be diversified. Experiments with different n-gram ranges, more aggressive dimensionality reduction, or simple compositional embeddings might capture complementary aspects of genre style, while regularization and class-weighting schemes could mitigate imbalance.</w:t>
      </w:r>
    </w:p>
    <w:p w14:paraId="1EB24ECF"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In the longer term, the project can be extended by incorporating additional genres (e.g., poetry, ritual manuals, commentaries) and more documents, enabling richer comparisons across the Classical Chinese corpus. Exploration of deep learning approaches, particularly transformer-based models fine-tuned on classical Chinese (such as BERT-</w:t>
      </w:r>
      <w:r w:rsidRPr="009D3BBA">
        <w:rPr>
          <w:rFonts w:ascii="Times New Roman" w:hAnsi="Times New Roman" w:cs="Times New Roman"/>
          <w:color w:val="000000" w:themeColor="text1"/>
        </w:rPr>
        <w:t>古文</w:t>
      </w:r>
      <w:r w:rsidRPr="009D3BBA">
        <w:rPr>
          <w:rFonts w:ascii="Times New Roman" w:hAnsi="Times New Roman" w:cs="Times New Roman"/>
          <w:color w:val="000000" w:themeColor="text1"/>
        </w:rPr>
        <w:t xml:space="preserve">), offers promising avenues for transfer learning. Pre-trained models can learn contextual representations that might capture genre-specific patterns more effectively than traditional feature engineering, potentially improving classification accuracy while reducing the need for </w:t>
      </w:r>
      <w:proofErr w:type="gramStart"/>
      <w:r w:rsidRPr="009D3BBA">
        <w:rPr>
          <w:rFonts w:ascii="Times New Roman" w:hAnsi="Times New Roman" w:cs="Times New Roman"/>
          <w:color w:val="000000" w:themeColor="text1"/>
        </w:rPr>
        <w:t>large annotated</w:t>
      </w:r>
      <w:proofErr w:type="gramEnd"/>
      <w:r w:rsidRPr="009D3BBA">
        <w:rPr>
          <w:rFonts w:ascii="Times New Roman" w:hAnsi="Times New Roman" w:cs="Times New Roman"/>
          <w:color w:val="000000" w:themeColor="text1"/>
        </w:rPr>
        <w:t xml:space="preserve"> datasets.</w:t>
      </w:r>
    </w:p>
    <w:p w14:paraId="39861B6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lastRenderedPageBreak/>
        <w:t>Investigation of semi-supervised learning approaches would also be valuable, given the limited availability of expert-annotated classical Chinese texts. Transfer learning from modern Chinese or leveraging large unlabeled corpora through self-supervised pretraining could help overcome data scarcity challenges. Once a robust and leakage-resistant classifier is established, its learned weights and error patterns can themselves become objects of philosophical analysis, revealing how particular characters, constructions, or phrases cluster within and across genres, linking digital humanities methods to substantive philosophical questions about the evolution of concepts and rhetorical strategies in Chinese intellectual history.</w:t>
      </w:r>
    </w:p>
    <w:p w14:paraId="68D67E88" w14:textId="77777777" w:rsidR="00FD3611" w:rsidRPr="009D3BBA" w:rsidRDefault="00000000" w:rsidP="009D3BBA">
      <w:pPr>
        <w:pStyle w:val="Heading1"/>
        <w:jc w:val="both"/>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7. Conclusion</w:t>
      </w:r>
    </w:p>
    <w:p w14:paraId="07C11D1F"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This project demonstrates that supervised machine learning can effectively classify short segments of Classical Chinese text into genre categories with high accuracy, achieving approximately 92% correct classification using Linear SVM on character-level TF-IDF features. The success of linear parametric models—Logistic Regression, Linear SVM, and Naive Bayes—over more complex approaches like RBF-kernel SVM and K-Nearest Neighbors underscores the importance of matching algorithm choice to the structure of the data. For high-dimensional sparse text representations, linear methods prove both efficient and effective, while non-parametric approaches struggle with the curse of dimensionality and computational scalability.</w:t>
      </w:r>
    </w:p>
    <w:p w14:paraId="1686EF74"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However, the choice of algorithm should balance predictive accuracy against interpretability requirements and computational constraints. For digital humanities scholarship where understanding genre-defining characteristics is as important as classification accuracy, the insights from interpretable parametric models remain valuable. The coefficients of a Logistic Regression model, for instance, directly reveal which characters and character combinations most strongly distinguish between philosophical treatises and historical narratives, providing empirical evidence for stylistic hypotheses that scholars can investigate through close reading.</w:t>
      </w:r>
    </w:p>
    <w:p w14:paraId="519CE9AA"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The implementation of a professional, extensible classification system with specialized support for pre-Qin texts demonstrates the practical viability of computational approaches to classical Chinese literature. The DocumentCategorizer architecture, combining robust machine learning with domain-specific metadata and scholarly interpretive frameworks, provides a template for future digital humanities projects in this domain. By enabling batch processing of large text collections and automatic extraction of genre-relevant metadata, the system supports scalable analysis while maintaining the flexibility needed for targeted scholarly inquiry.</w:t>
      </w:r>
    </w:p>
    <w:p w14:paraId="0BBD0543"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 xml:space="preserve">Critical reflection reveals important limitations. The risk of data leakage from chunk-level splitting, the challenge of class imbalance, and the temporal heterogeneity of the </w:t>
      </w:r>
      <w:r w:rsidRPr="009D3BBA">
        <w:rPr>
          <w:rFonts w:ascii="Times New Roman" w:hAnsi="Times New Roman" w:cs="Times New Roman"/>
          <w:color w:val="000000" w:themeColor="text1"/>
        </w:rPr>
        <w:lastRenderedPageBreak/>
        <w:t>corpus all temper confidence in the generalizability of reported accuracy figures. Future work must address these issues through document-level and period-aware evaluation schemes that better simulate real-world classification scenarios. The chunking strategy, while pragmatic, also obscures within-document genre variation and may inadvertently conflate authorial voice with generic convention.</w:t>
      </w:r>
    </w:p>
    <w:p w14:paraId="6D7FA16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Despite these limitations, the project makes substantive contributions to computational approaches to Classical Chinese texts. It establishes a baseline classification pipeline that future researchers can adapt and improve. It demonstrates that even relatively simple machine learning methods can capture meaningful stylistic and rhetorical differences between genres when applied to appropriately preprocessed text data. And it provides a critical framework for understanding the strengths and weaknesses of different modeling approaches, from the interpretability of parametric methods to the flexibility of ensemble techniques like Random Forest.</w:t>
      </w:r>
    </w:p>
    <w:p w14:paraId="545F9986"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Overall, this study contributes to the growing field of computational approaches to classical Chinese texts, demonstrating that modern machine learning methods can effectively address the challenges of automated genre classification in this culturally and linguistically rich domain. By bridging machine learning theory, practical implementation, and humanistic scholarship, this work exemplifies the interdisciplinary collaboration necessary for advancing digital humanities research in classical Chinese studies. The combination of rigorous computational methodology with critical awareness of the cultural and historical complexities of the corpus offers a model for how digital tools can enrich rather than replace traditional philological and interpretive practices.</w:t>
      </w:r>
    </w:p>
    <w:p w14:paraId="0563FF08" w14:textId="77777777" w:rsidR="00E773D1" w:rsidRDefault="00E773D1" w:rsidP="009D3BBA">
      <w:pPr>
        <w:pStyle w:val="Heading1"/>
        <w:jc w:val="both"/>
        <w:rPr>
          <w:rFonts w:ascii="Times New Roman" w:hAnsi="Times New Roman" w:cs="Times New Roman"/>
          <w:b w:val="0"/>
          <w:bCs w:val="0"/>
          <w:color w:val="000000" w:themeColor="text1"/>
        </w:rPr>
      </w:pPr>
    </w:p>
    <w:p w14:paraId="729190DA" w14:textId="38A3F7BE" w:rsidR="00FD3611" w:rsidRDefault="00000000" w:rsidP="00E773D1">
      <w:pPr>
        <w:pStyle w:val="Heading1"/>
        <w:jc w:val="center"/>
        <w:rPr>
          <w:rFonts w:ascii="Times New Roman" w:hAnsi="Times New Roman" w:cs="Times New Roman"/>
          <w:b w:val="0"/>
          <w:bCs w:val="0"/>
          <w:color w:val="000000" w:themeColor="text1"/>
        </w:rPr>
      </w:pPr>
      <w:r w:rsidRPr="009D3BBA">
        <w:rPr>
          <w:rFonts w:ascii="Times New Roman" w:hAnsi="Times New Roman" w:cs="Times New Roman"/>
          <w:b w:val="0"/>
          <w:bCs w:val="0"/>
          <w:color w:val="000000" w:themeColor="text1"/>
        </w:rPr>
        <w:t>References</w:t>
      </w:r>
    </w:p>
    <w:p w14:paraId="39E245FE" w14:textId="77777777" w:rsidR="00E773D1" w:rsidRPr="00E773D1" w:rsidRDefault="00E773D1" w:rsidP="00E773D1"/>
    <w:p w14:paraId="556EFFF8"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Breiman, L. (2001). Random forests. Machine Learning, 45(1), 5-32.</w:t>
      </w:r>
    </w:p>
    <w:p w14:paraId="1E5EA1D7"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Cover, T., &amp; Hart, P. (1967). Nearest neighbor pattern classification. IEEE Transactions on Information Theory, 13(1), 21-27.</w:t>
      </w:r>
    </w:p>
    <w:p w14:paraId="7C00F0F5"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lang w:val="de-DE"/>
        </w:rPr>
        <w:t xml:space="preserve">Hastie, T., Tibshirani, R., &amp; Friedman, J. (2009). </w:t>
      </w:r>
      <w:r w:rsidRPr="009D3BBA">
        <w:rPr>
          <w:rFonts w:ascii="Times New Roman" w:hAnsi="Times New Roman" w:cs="Times New Roman"/>
          <w:color w:val="000000" w:themeColor="text1"/>
        </w:rPr>
        <w:t>The elements of statistical learning: Data mining, inference, and prediction (2nd ed.). Springer.</w:t>
      </w:r>
    </w:p>
    <w:p w14:paraId="4B28E87B"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rPr>
        <w:t>Murphy, K. P. (2012). Machine learning: A probabilistic perspective. MIT Press.</w:t>
      </w:r>
    </w:p>
    <w:p w14:paraId="7B6B8BB9"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lang w:val="fr-FR"/>
        </w:rPr>
        <w:lastRenderedPageBreak/>
        <w:t xml:space="preserve">Pedregosa, F., Varoquaux, G., Gramfort, A., Michel, V., Thirion, B., Grisel, O., ... </w:t>
      </w:r>
      <w:r w:rsidRPr="009D3BBA">
        <w:rPr>
          <w:rFonts w:ascii="Times New Roman" w:hAnsi="Times New Roman" w:cs="Times New Roman"/>
          <w:color w:val="000000" w:themeColor="text1"/>
        </w:rPr>
        <w:t>&amp; Duchesnay, É. (2011). Scikit-learn: Machine learning in Python. Journal of Machine Learning Research, 12, 2825-2830.</w:t>
      </w:r>
    </w:p>
    <w:p w14:paraId="67DC3EA0" w14:textId="77777777" w:rsidR="00FD3611" w:rsidRPr="009D3BBA" w:rsidRDefault="00000000" w:rsidP="009D3BBA">
      <w:pPr>
        <w:jc w:val="both"/>
        <w:rPr>
          <w:rFonts w:ascii="Times New Roman" w:hAnsi="Times New Roman" w:cs="Times New Roman"/>
          <w:color w:val="000000" w:themeColor="text1"/>
        </w:rPr>
      </w:pPr>
      <w:r w:rsidRPr="009D3BBA">
        <w:rPr>
          <w:rFonts w:ascii="Times New Roman" w:hAnsi="Times New Roman" w:cs="Times New Roman"/>
          <w:color w:val="000000" w:themeColor="text1"/>
          <w:lang w:val="de-DE"/>
        </w:rPr>
        <w:t xml:space="preserve">Russell, S. J., &amp; Norvig, P. (2021). </w:t>
      </w:r>
      <w:r w:rsidRPr="009D3BBA">
        <w:rPr>
          <w:rFonts w:ascii="Times New Roman" w:hAnsi="Times New Roman" w:cs="Times New Roman"/>
          <w:color w:val="000000" w:themeColor="text1"/>
        </w:rPr>
        <w:t>Artificial intelligence: A modern approach (4th ed., Chapter 19: Learning from examples). Pearson.</w:t>
      </w:r>
    </w:p>
    <w:sectPr w:rsidR="00FD3611" w:rsidRPr="009D3B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758129">
    <w:abstractNumId w:val="8"/>
  </w:num>
  <w:num w:numId="2" w16cid:durableId="1003818569">
    <w:abstractNumId w:val="6"/>
  </w:num>
  <w:num w:numId="3" w16cid:durableId="896168664">
    <w:abstractNumId w:val="5"/>
  </w:num>
  <w:num w:numId="4" w16cid:durableId="628440806">
    <w:abstractNumId w:val="4"/>
  </w:num>
  <w:num w:numId="5" w16cid:durableId="1263761511">
    <w:abstractNumId w:val="7"/>
  </w:num>
  <w:num w:numId="6" w16cid:durableId="2024747225">
    <w:abstractNumId w:val="3"/>
  </w:num>
  <w:num w:numId="7" w16cid:durableId="108863346">
    <w:abstractNumId w:val="2"/>
  </w:num>
  <w:num w:numId="8" w16cid:durableId="553659180">
    <w:abstractNumId w:val="1"/>
  </w:num>
  <w:num w:numId="9" w16cid:durableId="138386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5B5"/>
    <w:rsid w:val="0015074B"/>
    <w:rsid w:val="001B1C27"/>
    <w:rsid w:val="0029639D"/>
    <w:rsid w:val="00326F90"/>
    <w:rsid w:val="005249F7"/>
    <w:rsid w:val="006451C1"/>
    <w:rsid w:val="009D3BBA"/>
    <w:rsid w:val="009E1D53"/>
    <w:rsid w:val="00A63820"/>
    <w:rsid w:val="00AA1D8D"/>
    <w:rsid w:val="00B47730"/>
    <w:rsid w:val="00CB0664"/>
    <w:rsid w:val="00E773D1"/>
    <w:rsid w:val="00FC693F"/>
    <w:rsid w:val="00FD36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66F0C"/>
  <w14:defaultImageDpi w14:val="300"/>
  <w15:docId w15:val="{2F33F666-C1CD-3C4A-AC72-ED594F7B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ate">
    <w:name w:val="Date"/>
    <w:basedOn w:val="Normal"/>
    <w:next w:val="Normal"/>
    <w:link w:val="DateChar"/>
    <w:uiPriority w:val="99"/>
    <w:semiHidden/>
    <w:unhideWhenUsed/>
    <w:rsid w:val="000A05B5"/>
  </w:style>
  <w:style w:type="character" w:customStyle="1" w:styleId="DateChar">
    <w:name w:val="Date Char"/>
    <w:basedOn w:val="DefaultParagraphFont"/>
    <w:link w:val="Date"/>
    <w:uiPriority w:val="99"/>
    <w:semiHidden/>
    <w:rsid w:val="000A05B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7257</Words>
  <Characters>41365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Clio Luo</cp:lastModifiedBy>
  <cp:revision>8</cp:revision>
  <dcterms:created xsi:type="dcterms:W3CDTF">2013-12-23T23:15:00Z</dcterms:created>
  <dcterms:modified xsi:type="dcterms:W3CDTF">2025-12-09T00:46:00Z</dcterms:modified>
  <cp:category/>
</cp:coreProperties>
</file>