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测试报告</w:t>
      </w:r>
    </w:p>
    <w:p>
      <w:r>
        <w:t>2020-01-12</w:t>
      </w:r>
      <w:r>
        <w:t>这边的字体是</w:t>
      </w:r>
      <w:r>
        <w:rPr>
          <w:b/>
        </w:rPr>
        <w:t>加粗</w:t>
      </w:r>
      <w:r>
        <w:t>和</w:t>
      </w:r>
      <w:r>
        <w:rPr>
          <w:i/>
        </w:rPr>
        <w:t>倾斜</w:t>
      </w:r>
    </w:p>
    <w:p>
      <w:pPr>
        <w:pStyle w:val="Heading1"/>
      </w:pPr>
      <w:r>
        <w:t>第一阶段</w:t>
      </w:r>
    </w:p>
    <w:p>
      <w:pPr>
        <w:pStyle w:val="IntenseQuote"/>
      </w:pPr>
      <w:r>
        <w:t>测试人员：Emmie</w:t>
      </w:r>
    </w:p>
    <w:p>
      <w:pPr>
        <w:pStyle w:val="ListBullet"/>
      </w:pPr>
      <w:r>
        <w:t>xx模块测试</w:t>
      </w:r>
    </w:p>
    <w:p>
      <w:pPr>
        <w:pStyle w:val="ListNumber"/>
      </w:pPr>
      <w:r>
        <w:t>第一个测试对象</w:t>
      </w:r>
    </w:p>
    <w:p>
      <w:r>
        <w:drawing>
          <wp:inline xmlns:a="http://schemas.openxmlformats.org/drawingml/2006/main" xmlns:pic="http://schemas.openxmlformats.org/drawingml/2006/picture">
            <wp:extent cx="914400" cy="13205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050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测试编号</w:t>
            </w:r>
          </w:p>
        </w:tc>
        <w:tc>
          <w:tcPr>
            <w:tcW w:type="dxa" w:w="2880"/>
          </w:tcPr>
          <w:p>
            <w:r>
              <w:t>测试内容</w:t>
            </w:r>
          </w:p>
        </w:tc>
        <w:tc>
          <w:tcPr>
            <w:tcW w:type="dxa" w:w="2880"/>
          </w:tcPr>
          <w:p>
            <w:r>
              <w:t>测试结果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