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IBM Plex Sans" w:cs="IBM Plex Sans" w:eastAsia="IBM Plex Sans" w:hAnsi="IBM Plex Sans"/>
          <w:b/>
          <w:bCs/>
          <w:color w:val="16324B"/>
          <w:sz w:val="40"/>
          <w:szCs w:val="40"/>
        </w:rPr>
        <w:t xml:space="preserve">SARTHAK SABHARWAL</w:t>
      </w:r>
    </w:p>
    <w:p>
      <w:pPr>
        <w:spacing w:after="60" w:before="60"/>
      </w:pPr>
      <w:r>
        <w:rPr>
          <w:rFonts w:ascii="IBM Plex Sans" w:cs="IBM Plex Sans" w:eastAsia="IBM Plex Sans" w:hAnsi="IBM Plex Sans"/>
          <w:color w:val="5B6B74"/>
          <w:sz w:val="18"/>
          <w:szCs w:val="18"/>
        </w:rPr>
        <w:t xml:space="preserve">Senior Business Analyst · AI Governance &amp; Delivery  |  sarthakmsabharwal@gmail.com  |  +61 414 055 123  |  Melbourne, Australia  |  linkedin.com/in/sarthakmsabharwal</w:t>
      </w:r>
    </w:p>
    <w:p>
      <w:pPr>
        <w:pBdr>
          <w:bottom w:val="single" w:color="16324B" w:sz="6" w:space="2"/>
        </w:pBdr>
        <w:spacing w:after="100" w:before="260"/>
      </w:pPr>
      <w:r>
        <w:rPr>
          <w:rFonts w:ascii="IBM Plex Sans" w:cs="IBM Plex Sans" w:eastAsia="IBM Plex Sans" w:hAnsi="IBM Plex Sans"/>
          <w:b/>
          <w:bCs/>
          <w:color w:val="16324B"/>
          <w:spacing w:val="20"/>
          <w:sz w:val="20"/>
          <w:szCs w:val="20"/>
        </w:rPr>
        <w:t xml:space="preserve">PROFILE</w:t>
      </w:r>
    </w:p>
    <w:p>
      <w:pPr>
        <w:spacing w:after="8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Senior Business Analyst with a decade of enterprise delivery across banking, finance, and technology consulting in India and Australia. Currently leading AI governance for a live enterprise pilot at Colonial First State, and founder of Nambik AI, an independent AI consultancy. Certified Scrum Product Owner (CSPO).</w:t>
      </w:r>
    </w:p>
    <w:p>
      <w:pPr>
        <w:pBdr>
          <w:bottom w:val="single" w:color="16324B" w:sz="6" w:space="2"/>
        </w:pBdr>
        <w:spacing w:after="100" w:before="260"/>
      </w:pPr>
      <w:r>
        <w:rPr>
          <w:rFonts w:ascii="IBM Plex Sans" w:cs="IBM Plex Sans" w:eastAsia="IBM Plex Sans" w:hAnsi="IBM Plex Sans"/>
          <w:b/>
          <w:bCs/>
          <w:color w:val="16324B"/>
          <w:spacing w:val="20"/>
          <w:sz w:val="20"/>
          <w:szCs w:val="20"/>
        </w:rPr>
        <w:t xml:space="preserve">EXPERIENCE</w:t>
      </w:r>
    </w:p>
    <w:p>
      <w:pPr>
        <w:tabs>
          <w:tab w:val="right" w:pos="9350"/>
        </w:tabs>
        <w:spacing w:after="20" w:before="160"/>
      </w:pPr>
      <w:r>
        <w:rPr>
          <w:rFonts w:ascii="IBM Plex Sans" w:cs="IBM Plex Sans" w:eastAsia="IBM Plex Sans" w:hAnsi="IBM Plex Sans"/>
          <w:b/>
          <w:bCs/>
          <w:color w:val="12181F"/>
          <w:sz w:val="21"/>
          <w:szCs w:val="21"/>
        </w:rPr>
        <w:t xml:space="preserve">Senior Specialist – Business Analyst</w:t>
      </w:r>
      <w:r>
        <w:rPr>
          <w:rFonts w:ascii="IBM Plex Sans" w:cs="IBM Plex Sans" w:eastAsia="IBM Plex Sans" w:hAnsi="IBM Plex Sans"/>
          <w:color w:val="16324B"/>
          <w:sz w:val="21"/>
          <w:szCs w:val="21"/>
        </w:rPr>
        <w:t xml:space="preserve">  —  LTM (formerly LTIMindtree) / Colonial First State</w:t>
      </w:r>
      <w:r>
        <w:rPr>
          <w:rFonts w:ascii="IBM Plex Sans" w:cs="IBM Plex Sans" w:eastAsia="IBM Plex Sans" w:hAnsi="IBM Plex Sans"/>
          <w:color w:val="5B6B74"/>
          <w:sz w:val="18"/>
          <w:szCs w:val="18"/>
        </w:rPr>
        <w:t xml:space="preserve">	May 2022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Led business analysis for CFS Edge Adviser AI – Phase 1, a controlled AI pilot scoped to select licensees and practices, governing AI prompt scope and compliance guardrails across Product, Risk, Compliance, Change, and FNZ; Phase 1 complete and now expanding to the full CFS Edge adviser base.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Sole Business Analyst for "Small Changes," a continuous-improvement initiative capturing overlooked pain points from advisers, operations, and product teams, delivered via quick dot releases outside the standard quarterly release cycle.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Led business analysis across the full CFS Edge platform lifecycle: First Wrap legacy product support, data migration to CFS Edge, day-one feature testing, and ongoing platform BA work.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Delivers regular feature work across CFS Edge's quarterly release cycle (four major releases per year).</w:t>
      </w:r>
    </w:p>
    <w:p>
      <w:pPr>
        <w:tabs>
          <w:tab w:val="right" w:pos="9350"/>
        </w:tabs>
        <w:spacing w:after="20" w:before="160"/>
      </w:pPr>
      <w:r>
        <w:rPr>
          <w:rFonts w:ascii="IBM Plex Sans" w:cs="IBM Plex Sans" w:eastAsia="IBM Plex Sans" w:hAnsi="IBM Plex Sans"/>
          <w:b/>
          <w:bCs/>
          <w:color w:val="12181F"/>
          <w:sz w:val="21"/>
          <w:szCs w:val="21"/>
        </w:rPr>
        <w:t xml:space="preserve">Business Analyst / Business System Analyst</w:t>
      </w:r>
      <w:r>
        <w:rPr>
          <w:rFonts w:ascii="IBM Plex Sans" w:cs="IBM Plex Sans" w:eastAsia="IBM Plex Sans" w:hAnsi="IBM Plex Sans"/>
          <w:color w:val="16324B"/>
          <w:sz w:val="21"/>
          <w:szCs w:val="21"/>
        </w:rPr>
        <w:t xml:space="preserve">  —  ANZ Banking Group</w:t>
      </w:r>
      <w:r>
        <w:rPr>
          <w:rFonts w:ascii="IBM Plex Sans" w:cs="IBM Plex Sans" w:eastAsia="IBM Plex Sans" w:hAnsi="IBM Plex Sans"/>
          <w:color w:val="5B6B74"/>
          <w:sz w:val="18"/>
          <w:szCs w:val="18"/>
        </w:rPr>
        <w:t xml:space="preserve">	Aug 2020 – Mar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Facilitated Agile ceremonies and managed sprint backlog for the Product Owner; led solution design on the AEM platform, enhancing the digital sales experience for anz.com.au.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Reviewed and standardised roughly 800 policies and schedules against ANZ's governance framework during a focused Policy Governance engagement.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Contributed to the migration of on-premise customer footprint features to Google Cloud Platform (GCP).</w:t>
      </w:r>
    </w:p>
    <w:p>
      <w:pPr>
        <w:tabs>
          <w:tab w:val="right" w:pos="9350"/>
        </w:tabs>
        <w:spacing w:after="20" w:before="160"/>
      </w:pPr>
      <w:r>
        <w:rPr>
          <w:rFonts w:ascii="IBM Plex Sans" w:cs="IBM Plex Sans" w:eastAsia="IBM Plex Sans" w:hAnsi="IBM Plex Sans"/>
          <w:b/>
          <w:bCs/>
          <w:color w:val="12181F"/>
          <w:sz w:val="21"/>
          <w:szCs w:val="21"/>
        </w:rPr>
        <w:t xml:space="preserve">Business Analyst</w:t>
      </w:r>
      <w:r>
        <w:rPr>
          <w:rFonts w:ascii="IBM Plex Sans" w:cs="IBM Plex Sans" w:eastAsia="IBM Plex Sans" w:hAnsi="IBM Plex Sans"/>
          <w:color w:val="16324B"/>
          <w:sz w:val="21"/>
          <w:szCs w:val="21"/>
        </w:rPr>
        <w:t xml:space="preserve">  —  Comprara Pty Ltd (procurement consulting)</w:t>
      </w:r>
      <w:r>
        <w:rPr>
          <w:rFonts w:ascii="IBM Plex Sans" w:cs="IBM Plex Sans" w:eastAsia="IBM Plex Sans" w:hAnsi="IBM Plex Sans"/>
          <w:color w:val="5B6B74"/>
          <w:sz w:val="18"/>
          <w:szCs w:val="18"/>
        </w:rPr>
        <w:t xml:space="preserve">	Mar 2020 – Jun 2020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Wireframed and prototyped a new business website; conducted process mapping to analyse and simplify business scenarios.</w:t>
      </w:r>
    </w:p>
    <w:p>
      <w:pPr>
        <w:tabs>
          <w:tab w:val="right" w:pos="9350"/>
        </w:tabs>
        <w:spacing w:after="20" w:before="160"/>
      </w:pPr>
      <w:r>
        <w:rPr>
          <w:rFonts w:ascii="IBM Plex Sans" w:cs="IBM Plex Sans" w:eastAsia="IBM Plex Sans" w:hAnsi="IBM Plex Sans"/>
          <w:b/>
          <w:bCs/>
          <w:color w:val="12181F"/>
          <w:sz w:val="21"/>
          <w:szCs w:val="21"/>
        </w:rPr>
        <w:t xml:space="preserve">Sessional Teaching Associate</w:t>
      </w:r>
      <w:r>
        <w:rPr>
          <w:rFonts w:ascii="IBM Plex Sans" w:cs="IBM Plex Sans" w:eastAsia="IBM Plex Sans" w:hAnsi="IBM Plex Sans"/>
          <w:color w:val="16324B"/>
          <w:sz w:val="21"/>
          <w:szCs w:val="21"/>
        </w:rPr>
        <w:t xml:space="preserve">  —  Monash University</w:t>
      </w:r>
      <w:r>
        <w:rPr>
          <w:rFonts w:ascii="IBM Plex Sans" w:cs="IBM Plex Sans" w:eastAsia="IBM Plex Sans" w:hAnsi="IBM Plex Sans"/>
          <w:color w:val="5B6B74"/>
          <w:sz w:val="18"/>
          <w:szCs w:val="18"/>
        </w:rPr>
        <w:t xml:space="preserve">	Mar 2019 – Jul 2019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Taught Website Fundamentals (SQL, HTML5, JavaScript, jQuery, PHP) to undergraduate cohorts of 15–20 students; graded assessments and provided one-on-one consultations.</w:t>
      </w:r>
    </w:p>
    <w:p>
      <w:pPr>
        <w:tabs>
          <w:tab w:val="right" w:pos="9350"/>
        </w:tabs>
        <w:spacing w:after="20" w:before="160"/>
      </w:pPr>
      <w:r>
        <w:rPr>
          <w:rFonts w:ascii="IBM Plex Sans" w:cs="IBM Plex Sans" w:eastAsia="IBM Plex Sans" w:hAnsi="IBM Plex Sans"/>
          <w:b/>
          <w:bCs/>
          <w:color w:val="12181F"/>
          <w:sz w:val="21"/>
          <w:szCs w:val="21"/>
        </w:rPr>
        <w:t xml:space="preserve">Business &amp; Integration Architecture Senior Analyst</w:t>
      </w:r>
      <w:r>
        <w:rPr>
          <w:rFonts w:ascii="IBM Plex Sans" w:cs="IBM Plex Sans" w:eastAsia="IBM Plex Sans" w:hAnsi="IBM Plex Sans"/>
          <w:color w:val="16324B"/>
          <w:sz w:val="21"/>
          <w:szCs w:val="21"/>
        </w:rPr>
        <w:t xml:space="preserve">  —  Accenture, India</w:t>
      </w:r>
      <w:r>
        <w:rPr>
          <w:rFonts w:ascii="IBM Plex Sans" w:cs="IBM Plex Sans" w:eastAsia="IBM Plex Sans" w:hAnsi="IBM Plex Sans"/>
          <w:color w:val="5B6B74"/>
          <w:sz w:val="18"/>
          <w:szCs w:val="18"/>
        </w:rPr>
        <w:t xml:space="preserve">	Aug 2013 – Jun 2017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Progressed from Associate Software Engineer to Senior Analyst; led independent delivery for major clients including Trident Group (textiles &amp; paper manufacturing), Jindal Stainless, and Dabur India Ltd / H&amp;B Stores Ltd (FMCG &amp; beauty retail), including a large-scale GST integration project.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Collaborated across teams ranging from 5 to over 100 members as point of contact between stakeholders and developers; ran boot camp training and mentored new team members.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Awarded "Numero Uno" for best performance, 2016.</w:t>
      </w:r>
    </w:p>
    <w:p>
      <w:pPr>
        <w:pBdr>
          <w:bottom w:val="single" w:color="16324B" w:sz="6" w:space="2"/>
        </w:pBdr>
        <w:spacing w:after="100" w:before="260"/>
      </w:pPr>
      <w:r>
        <w:rPr>
          <w:rFonts w:ascii="IBM Plex Sans" w:cs="IBM Plex Sans" w:eastAsia="IBM Plex Sans" w:hAnsi="IBM Plex Sans"/>
          <w:b/>
          <w:bCs/>
          <w:color w:val="16324B"/>
          <w:spacing w:val="20"/>
          <w:sz w:val="20"/>
          <w:szCs w:val="20"/>
        </w:rPr>
        <w:t xml:space="preserve">INDEPENDENT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Nambik AI — Founder. Independent AI consultancy; first engagement delivered a live production inbound voice agent for a print industry client (Retell AI, ElevenLabs, n8n).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AI Digital Mentor — Independent designer/builder. RAG-powered learning application on the Anthropic API (ai-digital-mentor.onrender.com).</w:t>
      </w:r>
    </w:p>
    <w:p>
      <w:pPr>
        <w:pBdr>
          <w:bottom w:val="single" w:color="16324B" w:sz="6" w:space="2"/>
        </w:pBdr>
        <w:spacing w:after="100" w:before="260"/>
      </w:pPr>
      <w:r>
        <w:rPr>
          <w:rFonts w:ascii="IBM Plex Sans" w:cs="IBM Plex Sans" w:eastAsia="IBM Plex Sans" w:hAnsi="IBM Plex Sans"/>
          <w:b/>
          <w:bCs/>
          <w:color w:val="16324B"/>
          <w:spacing w:val="20"/>
          <w:sz w:val="20"/>
          <w:szCs w:val="20"/>
        </w:rPr>
        <w:t xml:space="preserve">EDUCATION</w:t>
      </w:r>
    </w:p>
    <w:p>
      <w:pPr>
        <w:spacing w:after="8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Master of Business Information Systems — Monash University (Jul 2017 – Jul 2019). Two industry projects: an IoT smart device addressing Victorian water scarcity (high distinction); a data analysis project on declining Victorian reservoir levels (high distinction, led to a Research Assistant role offer). Mentoring roles: IT Peer Mentor; Postgraduate Association Mentor.</w:t>
      </w:r>
    </w:p>
    <w:p>
      <w:pPr>
        <w:spacing w:after="8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Professional Year Program — Monash College (2020 – 2021).</w:t>
      </w:r>
    </w:p>
    <w:p>
      <w:pPr>
        <w:spacing w:after="8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Bachelor of Technology, Electronics &amp; Communications Engineering — Jaypee Institute of Information Technology, India (Aug 2009 – Jul 2013).</w:t>
      </w:r>
    </w:p>
    <w:p>
      <w:pPr>
        <w:pBdr>
          <w:bottom w:val="single" w:color="16324B" w:sz="6" w:space="2"/>
        </w:pBdr>
        <w:spacing w:after="100" w:before="260"/>
      </w:pPr>
      <w:r>
        <w:rPr>
          <w:rFonts w:ascii="IBM Plex Sans" w:cs="IBM Plex Sans" w:eastAsia="IBM Plex Sans" w:hAnsi="IBM Plex Sans"/>
          <w:b/>
          <w:bCs/>
          <w:color w:val="16324B"/>
          <w:spacing w:val="20"/>
          <w:sz w:val="20"/>
          <w:szCs w:val="20"/>
        </w:rPr>
        <w:t xml:space="preserve">CERTIFICATIONS &amp; CONTINUED LEARNING</w:t>
      </w:r>
    </w:p>
    <w:p>
      <w:pPr>
        <w:spacing w:after="8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Certified Scrum Product Owner (CSPO)</w:t>
      </w:r>
    </w:p>
    <w:p>
      <w:pPr>
        <w:spacing w:after="8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Outskill AI Accelerator — 14-day intensive programme culminating in a hackathon</w:t>
      </w:r>
    </w:p>
    <w:p>
      <w:pPr>
        <w:spacing w:after="8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Outskill AI Catalyst Program — 6-month practitioner programme in progress (RAG systems, AI agent architecture, MCP integration, voice agents, context engineering)</w:t>
      </w:r>
    </w:p>
    <w:p>
      <w:pPr>
        <w:pBdr>
          <w:bottom w:val="single" w:color="16324B" w:sz="6" w:space="2"/>
        </w:pBdr>
        <w:spacing w:after="100" w:before="260"/>
      </w:pPr>
      <w:r>
        <w:rPr>
          <w:rFonts w:ascii="IBM Plex Sans" w:cs="IBM Plex Sans" w:eastAsia="IBM Plex Sans" w:hAnsi="IBM Plex Sans"/>
          <w:b/>
          <w:bCs/>
          <w:color w:val="16324B"/>
          <w:spacing w:val="20"/>
          <w:sz w:val="20"/>
          <w:szCs w:val="20"/>
        </w:rPr>
        <w:t xml:space="preserve">SKILLS</w:t>
      </w:r>
    </w:p>
    <w:p>
      <w:pPr>
        <w:spacing w:after="8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Business Analysis: Requirements elicitation, BRD/BRD development, user stories &amp; acceptance criteria, process &amp; data modelling, stakeholder management, AI governance &amp; prompt scope definition</w:t>
      </w:r>
    </w:p>
    <w:p>
      <w:pPr>
        <w:spacing w:after="8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Delivery &amp; Tools: Agile/Scrum, JIRA, Confluence, AEM, Google Cloud Platform, SAP ABAP, SQL, Tableau, Power BI, R</w:t>
      </w:r>
    </w:p>
    <w:p>
      <w:pPr>
        <w:spacing w:after="80"/>
      </w:pPr>
      <w:r>
        <w:rPr>
          <w:rFonts w:ascii="IBM Plex Sans" w:cs="IBM Plex Sans" w:eastAsia="IBM Plex Sans" w:hAnsi="IBM Plex Sans"/>
          <w:color w:val="12181F"/>
          <w:sz w:val="20"/>
          <w:szCs w:val="20"/>
        </w:rPr>
        <w:t xml:space="preserve">AI &amp; Emerging Tech: RAG architecture, Anthropic API, Retell AI, ElevenLabs, n8n, AI agent design, MCP integration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2026-07-07T13:50:13.652Z</dcterms:created>
  <dcterms:modified xsi:type="dcterms:W3CDTF">2026-07-07T13:50:13.652Z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