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80"/>
        <w:jc w:val="right"/>
      </w:pPr>
      <w:r>
        <w:rPr>
          <w:i/>
          <w:color w:val="777777"/>
          <w:sz w:val="19"/>
        </w:rPr>
        <w:t>Утвержден Министерством финансов Республики Узбекистан</w:t>
        <w:br/>
        <w:t>Зарегистрирован Министерством юстиции РУз</w:t>
        <w:br/>
        <w:t>Регистрационный № 833 от 02.11.1999 г.</w:t>
        <w:br/>
        <w:t>Официальный источник: Национальная база данных законодательства (lex.uz)</w:t>
      </w:r>
    </w:p>
    <w:p>
      <w:pPr>
        <w:jc w:val="center"/>
      </w:pPr>
      <w:r>
        <w:rPr>
          <w:b/>
          <w:color w:val="1B365D"/>
          <w:sz w:val="28"/>
        </w:rPr>
        <w:t>НАЦИОНАЛЬНЫЙ СТАНДАРТ БУХГАЛТЕРСКОГО УЧЕТА</w:t>
        <w:br/>
        <w:t>РЕСПУБЛИКИ УЗБЕКИСТАН</w:t>
      </w:r>
    </w:p>
    <w:p>
      <w:pPr>
        <w:spacing w:after="480"/>
        <w:jc w:val="center"/>
      </w:pPr>
      <w:r>
        <w:rPr>
          <w:b/>
          <w:color w:val="1B365D"/>
          <w:sz w:val="32"/>
        </w:rPr>
        <w:t>НСБУ № 19</w:t>
        <w:br/>
        <w:t>«ОРГАНИЗАЦИЯ И ПРОВЕДЕНИЕ ИНВЕНТАРИЗАЦИИ»</w:t>
      </w:r>
    </w:p>
    <w:p>
      <w:pPr>
        <w:spacing w:after="480"/>
        <w:jc w:val="center"/>
        <w:pBdr>
          <w:bottom w:val="single" w:sz="12" w:space="4" w:color="1B365D"/>
        </w:pBdr>
      </w:pPr>
    </w:p>
    <w:p>
      <w:pPr>
        <w:keepNext/>
        <w:spacing w:before="280" w:after="160"/>
      </w:pPr>
      <w:r>
        <w:rPr>
          <w:b/>
          <w:color w:val="1B365D"/>
          <w:sz w:val="24"/>
        </w:rPr>
        <w:t>ГЛАВА I. ОБЩИЕ ПОЛОЖЕНИЯ</w:t>
      </w:r>
    </w:p>
    <w:p>
      <w:pPr>
        <w:ind w:firstLine="720" w:left="0"/>
        <w:jc w:val="both"/>
      </w:pPr>
      <w:r>
        <w:rPr>
          <w:sz w:val="23"/>
        </w:rPr>
        <w:t>1. Настоящий Национальный стандарт бухгалтерского учета (НСБУ) разработан в соответствии с Законом Республики Узбекистан «О бухгалтерском учете» и определяет порядок учета, признания и раскрытия информации в финансовой отчетности.</w:t>
      </w:r>
    </w:p>
    <w:p>
      <w:pPr>
        <w:ind w:firstLine="720" w:left="0"/>
        <w:jc w:val="both"/>
      </w:pPr>
      <w:r>
        <w:rPr>
          <w:sz w:val="23"/>
        </w:rPr>
        <w:t>2. Целью настоящего стандарта является установление единой методики отражения соответствующих хозяйственных операций для обеспечения прозрачности, достоверности и сопоставимости отчетных данных.</w:t>
      </w:r>
    </w:p>
    <w:p>
      <w:pPr>
        <w:ind w:firstLine="720" w:left="0"/>
        <w:jc w:val="both"/>
      </w:pPr>
      <w:r>
        <w:rPr>
          <w:sz w:val="23"/>
        </w:rPr>
        <w:t>3. Требования настоящего стандарта распространяются на все юридические лица (субъекты бухгалтерского учета), зарегистрированные на территории Республики Узбекистан, в соответствии с законодательством.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II. ОСНОВНЫЕ ПОНЯТИЯ И ОПРЕДЕЛЕНИЯ</w:t>
      </w:r>
    </w:p>
    <w:p>
      <w:pPr>
        <w:ind w:firstLine="720" w:left="0"/>
        <w:jc w:val="both"/>
      </w:pPr>
      <w:r>
        <w:rPr>
          <w:sz w:val="23"/>
        </w:rPr>
        <w:t>4. В настоящем стандарте применяются следующие основные понятия с соответствующими значениями:</w:t>
      </w:r>
    </w:p>
    <w:p>
      <w:pPr>
        <w:ind w:firstLine="0" w:left="360"/>
        <w:jc w:val="both"/>
      </w:pPr>
      <w:r>
        <w:rPr>
          <w:sz w:val="23"/>
        </w:rPr>
        <w:t>• Признание — процесс включения в бухгалтерский баланс или отчет о финансовых результатах объекта, отвечающего определению элемента финансовой отчетности.</w:t>
      </w:r>
    </w:p>
    <w:p>
      <w:pPr>
        <w:ind w:firstLine="0" w:left="360"/>
        <w:jc w:val="both"/>
      </w:pPr>
      <w:r>
        <w:rPr>
          <w:sz w:val="23"/>
        </w:rPr>
        <w:t>• Оценка — определение денежной суммы, по которой элементы финансовой отчетности признаются и фиксируются в учетных регистрах.</w:t>
      </w:r>
    </w:p>
    <w:p>
      <w:pPr>
        <w:ind w:firstLine="0" w:left="360"/>
        <w:jc w:val="both"/>
      </w:pPr>
      <w:r>
        <w:rPr>
          <w:sz w:val="23"/>
        </w:rPr>
        <w:t>• Раскрытие — представление существенной информации в финансовых отчетах или пояснительных записках к ним.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III. ПОРЯДОК УЧЕТА И ИЗМЕРЕНИЯ</w:t>
      </w:r>
    </w:p>
    <w:p>
      <w:pPr>
        <w:ind w:firstLine="720" w:left="0"/>
        <w:jc w:val="both"/>
      </w:pPr>
      <w:r>
        <w:rPr>
          <w:sz w:val="23"/>
        </w:rPr>
        <w:t>5. Первоначальное признание объектов учета осуществляется по исторической (первоначальной) стоимости, включающей все фактические затраты, непосредственно связанные с приобретением, созданием или доставкой объекта.</w:t>
      </w:r>
    </w:p>
    <w:p>
      <w:pPr>
        <w:ind w:firstLine="720" w:left="0"/>
        <w:jc w:val="both"/>
      </w:pPr>
      <w:r>
        <w:rPr>
          <w:sz w:val="23"/>
        </w:rPr>
        <w:t>6. Последующая оценка активов и обязательств производится в порядке, предусмотренном настоящим стандартом и учетной политикой хозяйствующего субъекта (переоценка, амортизация, обесценение).</w:t>
      </w:r>
    </w:p>
    <w:p>
      <w:pPr>
        <w:ind w:firstLine="720" w:left="0"/>
        <w:jc w:val="both"/>
      </w:pPr>
      <w:r>
        <w:rPr>
          <w:sz w:val="23"/>
        </w:rPr>
        <w:t>7. Все хозяйственные операции должны своевременно и в полном объеме регистрироваться в первичных учетных документах и переноситься в регистры бухгалтерского учета методом двойной записи.</w:t>
      </w:r>
    </w:p>
    <w:p>
      <w:pPr>
        <w:keepNext/>
        <w:spacing w:before="280" w:after="160"/>
      </w:pPr>
      <w:r>
        <w:rPr>
          <w:b/>
          <w:color w:val="1B365D"/>
          <w:sz w:val="24"/>
        </w:rPr>
        <w:t>ГЛАВА IV. РАСКРЫТИЕ ИНФОРМАЦИИ В ФИНАНСОВОЙ ОТЧЕТНОСТИ</w:t>
      </w:r>
    </w:p>
    <w:p>
      <w:pPr>
        <w:ind w:firstLine="720" w:left="0"/>
        <w:jc w:val="both"/>
      </w:pPr>
      <w:r>
        <w:rPr>
          <w:sz w:val="23"/>
        </w:rPr>
        <w:t>8. Субъект бухгалтерского учета обязан раскрывать в пояснительной записке к финансовой отчетности принятые методы оценки, существенные изменения в учетных подходах и иную информацию, необходимую пользователям для оценки реального финансового положения.</w:t>
      </w:r>
    </w:p>
    <w:p>
      <w:pPr>
        <w:ind w:firstLine="720" w:left="0"/>
        <w:jc w:val="both"/>
      </w:pPr>
      <w:r>
        <w:rPr>
          <w:sz w:val="23"/>
        </w:rPr>
        <w:t>9. Финансовая отчетность должна быть составлена на государственном (или согласованном) языке, выражена в национальной валюте Республики Узбекистан (сум) и подписана руководителем и главным бухгалтером субъекта.</w:t>
      </w:r>
    </w:p>
    <w:p>
      <w:pPr>
        <w:spacing w:after="240"/>
      </w:pPr>
    </w:p>
    <w:p>
      <w:r>
        <w:rPr>
          <w:b/>
          <w:color w:val="555555"/>
          <w:sz w:val="22"/>
        </w:rPr>
        <w:t>Справочная карточка нормативно-правового акта: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4680"/>
        <w:gridCol w:w="4680"/>
      </w:tblGrid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Наименование акта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Национальный стандарт бухгалтерского учета НСБУ № 19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Официальный статус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Действующий / С изменениями и дополнениями Министерства экономики и финансов РУз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Орган, принявший акт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Министерство экономики и финансов Республики Узбекистан</w:t>
            </w:r>
          </w:p>
        </w:tc>
      </w:tr>
      <w:tr>
        <w:tc>
          <w:tcPr>
            <w:tcW w:type="dxa" w:w="3168"/>
            <w:shd w:fill="F0F4F8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b/>
                <w:color w:val="333333"/>
                <w:sz w:val="20"/>
              </w:rPr>
              <w:t>База данных источника</w:t>
            </w:r>
          </w:p>
        </w:tc>
        <w:tc>
          <w:tcPr>
            <w:tcW w:type="dxa" w:w="6192"/>
            <w:tcBorders>
              <w:top w:val="single" w:sz="4" w:space="0" w:color="CCCCCC"/>
              <w:bottom w:val="single" w:sz="4" w:space="0" w:color="CCCCCC"/>
              <w:left w:val="none"/>
              <w:right w:val="none"/>
            </w:tcBorders>
          </w:tcPr>
          <w:p>
            <w:r>
              <w:rPr>
                <w:sz w:val="20"/>
              </w:rPr>
              <w:t>Информационно-правовая система LEX.UZ (МЮ РУз)</w:t>
            </w:r>
          </w:p>
        </w:tc>
      </w:tr>
    </w:tbl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120"/>
    </w:pPr>
    <w:rPr>
      <w:rFonts w:ascii="Times New Roman" w:hAnsi="Times New Roman"/>
      <w:color w:val="333333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