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</w:pPr>
      <w:r>
        <w:rPr>
          <w:b w:val="0"/>
          <w:i w:val="0"/>
          <w:sz w:val="20"/>
        </w:rPr>
        <w:t>ЗАРЕГИСТРИРОВАН</w:t>
      </w:r>
    </w:p>
    <w:p>
      <w:pPr>
        <w:spacing w:before="0" w:after="120"/>
        <w:jc w:val="right"/>
      </w:pPr>
      <w:r>
        <w:rPr>
          <w:b w:val="0"/>
          <w:i w:val="0"/>
          <w:sz w:val="20"/>
        </w:rPr>
        <w:t>Министерством юстиции Республики Узбекистан</w:t>
      </w:r>
    </w:p>
    <w:p>
      <w:pPr>
        <w:spacing w:before="0" w:after="120"/>
        <w:jc w:val="right"/>
      </w:pPr>
      <w:r>
        <w:rPr>
          <w:b w:val="0"/>
          <w:i w:val="0"/>
          <w:sz w:val="20"/>
        </w:rPr>
        <w:t>4 ноября 2024 г. Регистрационный № 3567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  <w:jc w:val="center"/>
      </w:pPr>
      <w:r>
        <w:rPr>
          <w:b/>
          <w:i w:val="0"/>
          <w:sz w:val="28"/>
        </w:rPr>
        <w:t>ПРИКАЗ</w:t>
      </w:r>
    </w:p>
    <w:p>
      <w:pPr>
        <w:spacing w:before="0" w:after="120"/>
        <w:jc w:val="center"/>
      </w:pPr>
      <w:r>
        <w:rPr>
          <w:b w:val="0"/>
          <w:i w:val="0"/>
          <w:sz w:val="24"/>
        </w:rPr>
        <w:t>Министра экономики и финансов Республики Узбекистан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г. Ташкент, 8 октября 2024 г., № 181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  <w:jc w:val="center"/>
      </w:pPr>
      <w:r>
        <w:rPr>
          <w:b/>
          <w:i w:val="0"/>
          <w:sz w:val="24"/>
        </w:rPr>
        <w:t>Об утверждении Положения о сроках предоставления финансовых отчетов,</w:t>
        <w:br/>
        <w:t>а также их структуре и содержании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</w:pPr>
      <w:r>
        <w:rPr>
          <w:b w:val="0"/>
          <w:i w:val="0"/>
          <w:sz w:val="22"/>
        </w:rPr>
        <w:t>В соответствии с Законом Республики Узбекистан «О бухгалтерском учете», постановлениями Президента Республики Узбекистан от 10 ноября 2022 года № ПП-419 «О мерах по оптимизации процедур представления отчетов и хранения архивных документов» и от 9 января 2024 года № ПП-8 «О мерах по дальнейшему упрощению процессов представления отчетности и статистических данных субъектами предпринимательства в государственные органы» ПРИКАЗЫВАЮ: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</w:pPr>
      <w:r>
        <w:rPr>
          <w:b w:val="0"/>
          <w:i w:val="0"/>
          <w:sz w:val="22"/>
        </w:rPr>
        <w:t>1. Утвердить Положение о сроках предоставления финансовых отчетов, а также их структуре и содержании согласно приложению № 1.</w:t>
      </w:r>
    </w:p>
    <w:p>
      <w:pPr>
        <w:spacing w:before="0" w:after="120"/>
      </w:pPr>
      <w:r>
        <w:rPr>
          <w:b w:val="0"/>
          <w:i/>
          <w:color w:val="800000"/>
          <w:sz w:val="20"/>
        </w:rPr>
        <w:t>⚠ Примечание: Приложение № 1 (само Положение с формами) официально опубликовано только на узбекском языке на lex.uz (docs/7194594). Перевод на русский язык — в базе «Норма»: Нормативно-правовые акты → Бухгалтерский учет, аудит → Бухгалтерский учет → Бухгалтерская отчетность → Приказ №181.</w:t>
      </w:r>
    </w:p>
    <w:p>
      <w:pPr>
        <w:spacing w:before="0" w:after="120"/>
      </w:pPr>
      <w:r>
        <w:rPr>
          <w:b w:val="0"/>
          <w:i w:val="0"/>
          <w:sz w:val="22"/>
        </w:rPr>
        <w:t>2. Признать утратившими силу ведомственные нормативно-правовые акты согласно приложению № 2 (в т.ч. Приказ МФ №140 от 27.12.2002 об утверждении старых форм финансовой отчётности).</w:t>
      </w:r>
    </w:p>
    <w:p>
      <w:pPr>
        <w:spacing w:before="0" w:after="120"/>
      </w:pPr>
      <w:r>
        <w:rPr>
          <w:b w:val="0"/>
          <w:i w:val="0"/>
          <w:sz w:val="22"/>
        </w:rPr>
        <w:t>3. Настоящий приказ вступает в силу с 1 января 2025 года.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  <w:jc w:val="right"/>
      </w:pPr>
      <w:r>
        <w:rPr>
          <w:b/>
          <w:i w:val="0"/>
          <w:sz w:val="22"/>
        </w:rPr>
        <w:t>Министр Д. КУЧКАРОВ</w:t>
      </w:r>
    </w:p>
    <w:p>
      <w:pPr>
        <w:spacing w:before="0" w:after="120"/>
        <w:jc w:val="center"/>
      </w:pPr>
      <w:r>
        <w:rPr>
          <w:b w:val="0"/>
          <w:i/>
          <w:sz w:val="18"/>
        </w:rPr>
        <w:t>(Национальная база данных законодательства (www.lex.uz), 05.11.2024 г., № 10/24/3567/0887)</w:t>
      </w:r>
    </w:p>
    <w:p>
      <w:pPr>
        <w:spacing w:before="240" w:after="120"/>
        <w:jc w:val="center"/>
      </w:pPr>
      <w:r>
        <w:rPr>
          <w:b w:val="0"/>
          <w:i w:val="0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center"/>
      </w:pPr>
      <w:r>
        <w:rPr>
          <w:b/>
          <w:i w:val="0"/>
          <w:sz w:val="24"/>
        </w:rPr>
        <w:t>ПРИЛОЖЕНИЕ № 1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к Приказу Министра экономики и финансов Республики Узбекистан</w:t>
        <w:br/>
        <w:t>от 8 октября 2024 года № 181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  <w:jc w:val="center"/>
      </w:pPr>
      <w:r>
        <w:rPr>
          <w:b/>
          <w:i w:val="0"/>
          <w:sz w:val="26"/>
        </w:rPr>
        <w:t>ПОЛОЖЕНИЕ</w:t>
      </w:r>
    </w:p>
    <w:p>
      <w:pPr>
        <w:spacing w:before="0" w:after="120"/>
        <w:jc w:val="center"/>
      </w:pPr>
      <w:r>
        <w:rPr>
          <w:b/>
          <w:i w:val="0"/>
          <w:sz w:val="24"/>
        </w:rPr>
        <w:t>о сроках предоставления финансовых отчетов,</w:t>
        <w:br/>
        <w:t>а также их структуре и содержании</w:t>
      </w:r>
    </w:p>
    <w:p>
      <w:pPr>
        <w:spacing w:before="0" w:after="120"/>
        <w:jc w:val="center"/>
      </w:pPr>
      <w:r>
        <w:rPr>
          <w:b w:val="0"/>
          <w:i/>
          <w:color w:val="646464"/>
          <w:sz w:val="18"/>
        </w:rPr>
        <w:t>(авторский перевод с узбекского языка; официальный текст — на государственном языке на lex.uz/docs/7194594)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200" w:after="120"/>
      </w:pPr>
      <w:r>
        <w:rPr>
          <w:b/>
          <w:i w:val="0"/>
          <w:sz w:val="24"/>
        </w:rPr>
        <w:t>Глава 1. ОБЩИЕ ПОЛОЖЕНИЯ</w:t>
      </w:r>
    </w:p>
    <w:p>
      <w:pPr>
        <w:spacing w:before="0" w:after="120"/>
      </w:pPr>
      <w:r>
        <w:rPr>
          <w:b w:val="0"/>
          <w:i w:val="0"/>
          <w:sz w:val="22"/>
        </w:rPr>
        <w:t>1. Формы финансовых отчётов, утверждённые настоящим Положением, не применяются при составлении консолидированной финансовой отчётности организаций.</w:t>
      </w:r>
    </w:p>
    <w:p>
      <w:pPr>
        <w:spacing w:before="0" w:after="120"/>
      </w:pPr>
      <w:r>
        <w:rPr>
          <w:b w:val="0"/>
          <w:i w:val="0"/>
          <w:sz w:val="22"/>
        </w:rPr>
        <w:t>2. Отчётный период годовой финансовой отчётности начинается 1 января и заканчивается 31 декабря календарного года. Отчётной датой при составлении финансовой отчётности считается последний календарный день отчётного периода.</w:t>
      </w:r>
    </w:p>
    <w:p>
      <w:pPr>
        <w:spacing w:before="0" w:after="120"/>
      </w:pPr>
      <w:r>
        <w:rPr>
          <w:b w:val="0"/>
          <w:i w:val="0"/>
          <w:sz w:val="22"/>
        </w:rPr>
        <w:t>3. Все организации в Республике Узбекистан обязаны представлять финансовую отчётность в валюте Республики Узбекистан — сумах, если законодательными актами не предусмотрен иной порядок.</w:t>
      </w:r>
    </w:p>
    <w:p>
      <w:pPr>
        <w:spacing w:before="0" w:after="120"/>
      </w:pPr>
      <w:r>
        <w:rPr>
          <w:b w:val="0"/>
          <w:i w:val="0"/>
          <w:sz w:val="22"/>
        </w:rPr>
        <w:t>4. Формы финансовой отчётности подписываются руководителем и лицом, осуществляющим функции ведения бухгалтерского учёта и финансового управления, либо главным бухгалтером. Если руководитель принял на себя функции по ведению бухгалтерского учёта и финансового управления, он подписывает вместо главного бухгалтера.</w:t>
      </w:r>
    </w:p>
    <w:p>
      <w:pPr>
        <w:spacing w:before="200" w:after="120"/>
      </w:pPr>
      <w:r>
        <w:rPr>
          <w:b/>
          <w:i w:val="0"/>
          <w:sz w:val="24"/>
        </w:rPr>
        <w:t>Глава 2. СРОКИ ПРЕДОСТАВЛЕНИЯ ФИНАНСОВЫХ ОТЧЁТОВ</w:t>
      </w:r>
    </w:p>
    <w:p>
      <w:pPr>
        <w:spacing w:before="0" w:after="120"/>
      </w:pPr>
      <w:r>
        <w:rPr>
          <w:b w:val="0"/>
          <w:i w:val="0"/>
          <w:sz w:val="22"/>
        </w:rPr>
        <w:t>5. Организации, ликвидированные, реорганизованные или присоединённые в течение отчётного года, представляют годовую финансовую отчётность по действующим формам за период с начала года до момента ликвидации (реорганизации, присоединения).</w:t>
      </w:r>
    </w:p>
    <w:p>
      <w:pPr>
        <w:spacing w:before="0" w:after="120"/>
      </w:pPr>
      <w:r>
        <w:rPr>
          <w:b w:val="0"/>
          <w:i w:val="0"/>
          <w:sz w:val="22"/>
        </w:rPr>
        <w:t>6. Организации, созданные до 1 октября отчётного года, в финансовой отчётности отражают данные за период с 1-го числа месяца, в котором они зарегистрированы в установленном порядке, до 31 декабря отчётного года включительно. Организации, созданные после 1 октября отчётного года, — за период от даты государственной регистрации до 31 декабря следующего года включительно.</w:t>
      </w:r>
    </w:p>
    <w:p>
      <w:pPr>
        <w:spacing w:before="0" w:after="120"/>
      </w:pPr>
      <w:r>
        <w:rPr>
          <w:b w:val="0"/>
          <w:i w:val="0"/>
          <w:sz w:val="22"/>
        </w:rPr>
        <w:t>7. Организации представляют годовую финансовую отчётность в государственные органы в соответствии с установленным законодательством порядком: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• годовая финансовая отчётность, составленная в соответствии с НСБУ (Национальными стандартами бухгалтерского учёта), — не позднее 1 марта года, следующего за отчётным;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• годовая финансовая отчётность, составленная в соответствии с МСФО (Международными стандартами финансовой отчётности), — не позднее 1 мая года, следующего за отчётным.</w:t>
      </w:r>
    </w:p>
    <w:p>
      <w:pPr>
        <w:spacing w:before="200" w:after="120"/>
      </w:pPr>
      <w:r>
        <w:rPr>
          <w:b/>
          <w:i w:val="0"/>
          <w:sz w:val="24"/>
        </w:rPr>
        <w:t>Глава 3. СОСТАВ И СОДЕРЖАНИЕ ФИНАНСОВЫХ ОТЧЁТОВ</w:t>
      </w:r>
    </w:p>
    <w:p>
      <w:pPr>
        <w:spacing w:before="0" w:after="120"/>
      </w:pPr>
      <w:r>
        <w:rPr>
          <w:b w:val="0"/>
          <w:i w:val="0"/>
          <w:sz w:val="22"/>
        </w:rPr>
        <w:t>8. Содержание и состав финансовых отчётов определяются формами, составляемыми в соответствии с НСБУ и МСФО.</w:t>
      </w:r>
    </w:p>
    <w:p>
      <w:pPr>
        <w:spacing w:before="0" w:after="120"/>
      </w:pPr>
      <w:r>
        <w:rPr>
          <w:b w:val="0"/>
          <w:i w:val="0"/>
          <w:sz w:val="22"/>
        </w:rPr>
        <w:t>9. Годовая финансовая отчётность, составленная в соответствии с НСБУ, включает: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бухгалтерский баланс (Приложение 1 к настоящему Положению);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 финансовых результатах (Приложение 2 к настоящему Положению);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 собственном капитале (Приложение 3 к настоящему Положению);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 движении денежных средств (Приложение 4 к настоящему Положению);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примечания, расчёты и пояснения (примечания к финансовым отчётам).</w:t>
      </w:r>
    </w:p>
    <w:p>
      <w:pPr>
        <w:spacing w:before="0" w:after="120"/>
      </w:pPr>
      <w:r>
        <w:rPr>
          <w:b w:val="0"/>
          <w:i/>
          <w:color w:val="000080"/>
          <w:sz w:val="22"/>
        </w:rPr>
        <w:t xml:space="preserve">   ⚠ Для микрофирм и малых предприятий: годовая финансовая отчётность включает только бухгалтерский баланс и отчёт о финансовых результатах.</w:t>
      </w:r>
    </w:p>
    <w:p>
      <w:pPr>
        <w:spacing w:before="0" w:after="120"/>
      </w:pPr>
      <w:r>
        <w:rPr>
          <w:b w:val="0"/>
          <w:i w:val="0"/>
          <w:sz w:val="22"/>
        </w:rPr>
        <w:t>10. Годовая финансовая отчётность, составленная в соответствии с МСФО, включает: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 финансовом положении (Приложение 5 к настоящему Положению);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 прибыли или убытке и прочем совокупном доходе (Приложение 6);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об изменениях в собственном капитале (Приложение 7);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отчёт о движении денежных средств (косвенный метод) (Приложение 8);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   — примечания, включающие существенную учётную политику и прочие пояснения.</w:t>
      </w:r>
    </w:p>
    <w:p>
      <w:pPr>
        <w:spacing w:before="0" w:after="120"/>
      </w:pPr>
      <w:r>
        <w:rPr>
          <w:b w:val="0"/>
          <w:i w:val="0"/>
          <w:sz w:val="22"/>
        </w:rPr>
        <w:t>11. Организации, составляющие финансовую отчётность по МСФО, применяют МСФО и разъяснения к ним, утверждённые Приказом Министра финансов РУз от 10 ноября 2022 года № 61 (рег. № 3400 от 9 декабря 2022 года).</w:t>
      </w:r>
    </w:p>
    <w:p>
      <w:pPr>
        <w:spacing w:before="0" w:after="120"/>
      </w:pPr>
      <w:r>
        <w:rPr>
          <w:b w:val="0"/>
          <w:i w:val="0"/>
          <w:sz w:val="22"/>
        </w:rPr>
        <w:t>12. В формах финансовой отчётности должны быть заполнены все реквизиты, строки и графы. При заполнении должны быть обеспечены полнота и достоверность вносимых данных.</w:t>
      </w:r>
    </w:p>
    <w:p>
      <w:pPr>
        <w:spacing w:before="0" w:after="120"/>
      </w:pPr>
      <w:r>
        <w:rPr>
          <w:b w:val="0"/>
          <w:i w:val="0"/>
          <w:sz w:val="22"/>
        </w:rPr>
        <w:t>13. Организации, составляющие финансовую отчётность по МСФО, вправе определять формы публикуемой отчётности, порядок и способы её представления учётной политикой — сверх форм, установленных настоящим Положением.</w:t>
      </w:r>
    </w:p>
    <w:p>
      <w:pPr>
        <w:spacing w:before="200" w:after="120"/>
      </w:pPr>
      <w:r>
        <w:rPr>
          <w:b/>
          <w:i w:val="0"/>
          <w:sz w:val="24"/>
        </w:rPr>
        <w:t>Глава 4. ЗАКЛЮЧИТЕЛЬНОЕ ПОЛОЖЕНИЕ</w:t>
      </w:r>
    </w:p>
    <w:p>
      <w:pPr>
        <w:spacing w:before="0" w:after="120"/>
      </w:pPr>
      <w:r>
        <w:rPr>
          <w:b w:val="0"/>
          <w:i w:val="0"/>
          <w:sz w:val="22"/>
        </w:rPr>
        <w:t>14. Споры, возникающие в связи с применением настоящего Положения, разрешаются в порядке, установленном законодательством.</w:t>
      </w:r>
    </w:p>
    <w:p>
      <w:pPr>
        <w:spacing w:before="240" w:after="120"/>
        <w:jc w:val="center"/>
      </w:pPr>
      <w:r>
        <w:rPr>
          <w:b w:val="0"/>
          <w:i w:val="0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center"/>
      </w:pPr>
      <w:r>
        <w:rPr>
          <w:b/>
          <w:i w:val="0"/>
          <w:sz w:val="24"/>
        </w:rPr>
        <w:t>ПРИЛОЖЕНИЯ К ПОЛОЖЕНИЮ — формы финансовой отчётности</w:t>
      </w:r>
    </w:p>
    <w:p>
      <w:pPr>
        <w:spacing w:before="0" w:after="120"/>
        <w:jc w:val="center"/>
      </w:pPr>
      <w:r>
        <w:rPr>
          <w:b w:val="0"/>
          <w:i/>
          <w:sz w:val="20"/>
        </w:rPr>
        <w:t>(Приложение 1–4 — для организаций по НСБУ; Приложение 5–8 — для организаций по МСФО)</w:t>
      </w:r>
    </w:p>
    <w:p>
      <w:pPr>
        <w:spacing w:before="0" w:after="120"/>
      </w:pPr>
      <w:r>
        <w:rPr>
          <w:b w:val="0"/>
          <w:i/>
          <w:color w:val="800000"/>
          <w:sz w:val="20"/>
        </w:rPr>
        <w:t>Сами бланки форм официально опубликованы только на узбекском языке. Для работы с русскоязычными бланками — воспользуйтесь базой «Норма» или buxgalter.uz.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52"/>
          </w:tcPr>
          <w:p>
            <w:r>
              <w:rPr>
                <w:b/>
              </w:rPr>
              <w:t>№</w:t>
            </w:r>
          </w:p>
        </w:tc>
        <w:tc>
          <w:tcPr>
            <w:tcW w:type="dxa" w:w="5472"/>
          </w:tcPr>
          <w:p>
            <w:r>
              <w:rPr>
                <w:b/>
              </w:rPr>
              <w:t>Наименование формы</w:t>
            </w:r>
          </w:p>
        </w:tc>
        <w:tc>
          <w:tcPr>
            <w:tcW w:type="dxa" w:w="3168"/>
          </w:tcPr>
          <w:p>
            <w:r>
              <w:rPr>
                <w:b/>
              </w:rPr>
              <w:t>Применяется</w:t>
            </w:r>
          </w:p>
        </w:tc>
      </w:tr>
      <w:tr>
        <w:tc>
          <w:tcPr>
            <w:tcW w:type="dxa" w:w="1152"/>
          </w:tcPr>
          <w:p>
            <w:r>
              <w:t>Прил. 1</w:t>
            </w:r>
          </w:p>
        </w:tc>
        <w:tc>
          <w:tcPr>
            <w:tcW w:type="dxa" w:w="5472"/>
          </w:tcPr>
          <w:p>
            <w:r>
              <w:t>Бухгалтерский баланс</w:t>
              <w:br/>
              <w:t>(расшифровка просроченной дебиторской/кредиторской задолженности)</w:t>
            </w:r>
          </w:p>
        </w:tc>
        <w:tc>
          <w:tcPr>
            <w:tcW w:type="dxa" w:w="3168"/>
          </w:tcPr>
          <w:p>
            <w:r>
              <w:t>НСБУ — все организации</w:t>
            </w:r>
          </w:p>
        </w:tc>
      </w:tr>
      <w:tr>
        <w:tc>
          <w:tcPr>
            <w:tcW w:type="dxa" w:w="1152"/>
          </w:tcPr>
          <w:p>
            <w:r>
              <w:t>Прил. 2</w:t>
            </w:r>
          </w:p>
        </w:tc>
        <w:tc>
          <w:tcPr>
            <w:tcW w:type="dxa" w:w="5472"/>
          </w:tcPr>
          <w:p>
            <w:r>
              <w:t>Отчёт о финансовых результатах</w:t>
              <w:br/>
              <w:t>(форма №2)</w:t>
            </w:r>
          </w:p>
        </w:tc>
        <w:tc>
          <w:tcPr>
            <w:tcW w:type="dxa" w:w="3168"/>
          </w:tcPr>
          <w:p>
            <w:r>
              <w:t>НСБУ — все организации</w:t>
            </w:r>
          </w:p>
        </w:tc>
      </w:tr>
      <w:tr>
        <w:tc>
          <w:tcPr>
            <w:tcW w:type="dxa" w:w="1152"/>
          </w:tcPr>
          <w:p>
            <w:r>
              <w:t>Прил. 3</w:t>
            </w:r>
          </w:p>
        </w:tc>
        <w:tc>
          <w:tcPr>
            <w:tcW w:type="dxa" w:w="5472"/>
          </w:tcPr>
          <w:p>
            <w:r>
              <w:t>Отчёт о собственном капитале</w:t>
              <w:br/>
              <w:t>(форма №3)</w:t>
            </w:r>
          </w:p>
        </w:tc>
        <w:tc>
          <w:tcPr>
            <w:tcW w:type="dxa" w:w="3168"/>
          </w:tcPr>
          <w:p>
            <w:r>
              <w:t>НСБУ — кроме микрофирм и малых предприятий</w:t>
            </w:r>
          </w:p>
        </w:tc>
      </w:tr>
      <w:tr>
        <w:tc>
          <w:tcPr>
            <w:tcW w:type="dxa" w:w="1152"/>
          </w:tcPr>
          <w:p>
            <w:r>
              <w:t>Прил. 4</w:t>
            </w:r>
          </w:p>
        </w:tc>
        <w:tc>
          <w:tcPr>
            <w:tcW w:type="dxa" w:w="5472"/>
          </w:tcPr>
          <w:p>
            <w:r>
              <w:t>Отчёт о движении денежных средств</w:t>
              <w:br/>
              <w:t>(форма №4)</w:t>
              <w:br/>
              <w:t>вкл. Справку о движении ден. средств в иностранной валюте</w:t>
            </w:r>
          </w:p>
        </w:tc>
        <w:tc>
          <w:tcPr>
            <w:tcW w:type="dxa" w:w="3168"/>
          </w:tcPr>
          <w:p>
            <w:r>
              <w:t>НСБУ — кроме микрофирм и малых предприятий</w:t>
            </w:r>
          </w:p>
        </w:tc>
      </w:tr>
      <w:tr>
        <w:tc>
          <w:tcPr>
            <w:tcW w:type="dxa" w:w="1152"/>
          </w:tcPr>
          <w:p>
            <w:r>
              <w:t>Прил. 5</w:t>
            </w:r>
          </w:p>
        </w:tc>
        <w:tc>
          <w:tcPr>
            <w:tcW w:type="dxa" w:w="5472"/>
          </w:tcPr>
          <w:p>
            <w:r>
              <w:t>Отчёт о финансовом положении</w:t>
              <w:br/>
              <w:t>(Statement of Financial Position)</w:t>
            </w:r>
          </w:p>
        </w:tc>
        <w:tc>
          <w:tcPr>
            <w:tcW w:type="dxa" w:w="3168"/>
          </w:tcPr>
          <w:p>
            <w:r>
              <w:t>МСФО</w:t>
            </w:r>
          </w:p>
        </w:tc>
      </w:tr>
      <w:tr>
        <w:tc>
          <w:tcPr>
            <w:tcW w:type="dxa" w:w="1152"/>
          </w:tcPr>
          <w:p>
            <w:r>
              <w:t>Прил. 6</w:t>
            </w:r>
          </w:p>
        </w:tc>
        <w:tc>
          <w:tcPr>
            <w:tcW w:type="dxa" w:w="5472"/>
          </w:tcPr>
          <w:p>
            <w:r>
              <w:t>Отчёт о прибыли или убытке и прочем совокупном доходе</w:t>
            </w:r>
          </w:p>
        </w:tc>
        <w:tc>
          <w:tcPr>
            <w:tcW w:type="dxa" w:w="3168"/>
          </w:tcPr>
          <w:p>
            <w:r>
              <w:t>МСФО</w:t>
            </w:r>
          </w:p>
        </w:tc>
      </w:tr>
      <w:tr>
        <w:tc>
          <w:tcPr>
            <w:tcW w:type="dxa" w:w="1152"/>
          </w:tcPr>
          <w:p>
            <w:r>
              <w:t>Прил. 7</w:t>
            </w:r>
          </w:p>
        </w:tc>
        <w:tc>
          <w:tcPr>
            <w:tcW w:type="dxa" w:w="5472"/>
          </w:tcPr>
          <w:p>
            <w:r>
              <w:t>Отчёт об изменениях в собственном капитале</w:t>
            </w:r>
          </w:p>
        </w:tc>
        <w:tc>
          <w:tcPr>
            <w:tcW w:type="dxa" w:w="3168"/>
          </w:tcPr>
          <w:p>
            <w:r>
              <w:t>МСФО</w:t>
            </w:r>
          </w:p>
        </w:tc>
      </w:tr>
      <w:tr>
        <w:tc>
          <w:tcPr>
            <w:tcW w:type="dxa" w:w="1152"/>
          </w:tcPr>
          <w:p>
            <w:r>
              <w:t>Прил. 8</w:t>
            </w:r>
          </w:p>
        </w:tc>
        <w:tc>
          <w:tcPr>
            <w:tcW w:type="dxa" w:w="5472"/>
          </w:tcPr>
          <w:p>
            <w:r>
              <w:t>Отчёт о движении денежных средств (косвенный метод)</w:t>
            </w:r>
          </w:p>
        </w:tc>
        <w:tc>
          <w:tcPr>
            <w:tcW w:type="dxa" w:w="3168"/>
          </w:tcPr>
          <w:p>
            <w:r>
              <w:t>МСФО</w:t>
            </w:r>
          </w:p>
        </w:tc>
      </w:tr>
    </w:tbl>
    <w:p>
      <w:pPr>
        <w:spacing w:before="240" w:after="120"/>
        <w:jc w:val="center"/>
      </w:pPr>
      <w:r>
        <w:rPr>
          <w:b w:val="0"/>
          <w:i w:val="0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center"/>
      </w:pPr>
      <w:r>
        <w:rPr>
          <w:b/>
          <w:i w:val="0"/>
          <w:sz w:val="24"/>
        </w:rPr>
        <w:t>ПРИЛОЖЕНИЕ № 2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к Приказу Министра экономики и финансов Республики Узбекистан</w:t>
        <w:br/>
        <w:t>от 8 октября 2024 года № 181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  <w:jc w:val="center"/>
      </w:pPr>
      <w:r>
        <w:rPr>
          <w:b/>
          <w:i w:val="0"/>
          <w:sz w:val="24"/>
        </w:rPr>
        <w:t>ПЕРЕЧЕНЬ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ведомственных нормативно-правовых актов, признаваемых утратившими силу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after="80"/>
        <w:ind w:left="400"/>
      </w:pPr>
      <w:r>
        <w:rPr>
          <w:b/>
          <w:sz w:val="22"/>
        </w:rPr>
        <w:t xml:space="preserve">1. </w:t>
      </w:r>
      <w:r>
        <w:rPr>
          <w:sz w:val="22"/>
        </w:rPr>
        <w:t>Положение о сроках представления квартальной и годовой финансовой отчётности, утверждённое Министерством финансов РУз 15 июня 2000 года № 47 (рег. № 942 от 3 июля 2000 года).</w:t>
      </w:r>
    </w:p>
    <w:p>
      <w:pPr>
        <w:spacing w:after="80"/>
        <w:ind w:left="400"/>
      </w:pPr>
      <w:r>
        <w:rPr>
          <w:b/>
          <w:sz w:val="22"/>
        </w:rPr>
        <w:t xml:space="preserve">2. </w:t>
      </w:r>
      <w:r>
        <w:rPr>
          <w:sz w:val="22"/>
        </w:rPr>
        <w:t>Приказ МФ РУз от 12 июля 2002 года № 85 «О внесении изменений в Положение о сроках представления квартальной и годовой финансовой отчётности» (рег. № 942-1 от 22 июля 2002 года).</w:t>
      </w:r>
    </w:p>
    <w:p>
      <w:pPr>
        <w:spacing w:after="80"/>
        <w:ind w:left="400"/>
      </w:pPr>
      <w:r>
        <w:rPr>
          <w:b/>
          <w:sz w:val="22"/>
        </w:rPr>
        <w:t xml:space="preserve">3. </w:t>
      </w:r>
      <w:r>
        <w:rPr>
          <w:sz w:val="22"/>
        </w:rPr>
        <w:t>Приказ МФ РУз от 27 декабря 2002 года № 140 «Об утверждении форм финансовой отчётности и правил по их заполнению» (рег. № 1209 от 24 января 2003 года) — и все последующие поправки к нему (рег. № 1209-1 — 1209-10).</w:t>
      </w:r>
    </w:p>
    <w:p>
      <w:pPr>
        <w:spacing w:after="80"/>
        <w:ind w:left="400"/>
      </w:pPr>
      <w:r>
        <w:rPr>
          <w:b/>
          <w:sz w:val="22"/>
        </w:rPr>
        <w:t xml:space="preserve">4. </w:t>
      </w:r>
      <w:r>
        <w:rPr>
          <w:sz w:val="22"/>
        </w:rPr>
        <w:t>Приказ МФ РУз от 17 октября 2003 года № 118 — изменения к Приказу № 140 (рег. № 1209-1).</w:t>
      </w:r>
    </w:p>
    <w:p>
      <w:pPr>
        <w:spacing w:after="80"/>
        <w:ind w:left="400"/>
      </w:pPr>
      <w:r>
        <w:rPr>
          <w:b/>
          <w:sz w:val="22"/>
        </w:rPr>
        <w:t xml:space="preserve">5. </w:t>
      </w:r>
      <w:r>
        <w:rPr>
          <w:sz w:val="22"/>
        </w:rPr>
        <w:t>Приказ МФ РУз от 9 декабря 2004 года № 129 — изменения к Приказу № 140 (рег. № 1209-2).</w:t>
      </w:r>
    </w:p>
    <w:p>
      <w:pPr>
        <w:spacing w:after="80"/>
        <w:ind w:left="400"/>
      </w:pPr>
      <w:r>
        <w:rPr>
          <w:b/>
          <w:sz w:val="22"/>
        </w:rPr>
        <w:t xml:space="preserve">6. </w:t>
      </w:r>
      <w:r>
        <w:rPr>
          <w:sz w:val="22"/>
        </w:rPr>
        <w:t>Приказ МФ РУз от 6 мая 2005 года № 45 — изменения в Приложение №7 к Приказу № 140 (рег. № 1209-3).</w:t>
      </w:r>
    </w:p>
    <w:p>
      <w:pPr>
        <w:spacing w:after="80"/>
        <w:ind w:left="400"/>
      </w:pPr>
      <w:r>
        <w:rPr>
          <w:b/>
          <w:sz w:val="22"/>
        </w:rPr>
        <w:t xml:space="preserve">7. </w:t>
      </w:r>
      <w:r>
        <w:rPr>
          <w:sz w:val="22"/>
        </w:rPr>
        <w:t>Приказ МФ РУз от 12 апреля 2007 года № 39 — изменения к Приказу № 140 (рег. № 1209-4).</w:t>
      </w:r>
    </w:p>
    <w:p>
      <w:pPr>
        <w:spacing w:after="80"/>
        <w:ind w:left="400"/>
      </w:pPr>
      <w:r>
        <w:rPr>
          <w:b/>
          <w:sz w:val="22"/>
        </w:rPr>
        <w:t xml:space="preserve">8. </w:t>
      </w:r>
      <w:r>
        <w:rPr>
          <w:sz w:val="22"/>
        </w:rPr>
        <w:t>Приказ МФ РУз от 11 сентября 2012 года № 68 — изменения к Приказу № 140 (рег. № 1209-5).</w:t>
      </w:r>
    </w:p>
    <w:p>
      <w:pPr>
        <w:spacing w:after="80"/>
        <w:ind w:left="400"/>
      </w:pPr>
      <w:r>
        <w:rPr>
          <w:b/>
          <w:sz w:val="22"/>
        </w:rPr>
        <w:t xml:space="preserve">9. </w:t>
      </w:r>
      <w:r>
        <w:rPr>
          <w:sz w:val="22"/>
        </w:rPr>
        <w:t>Приказ МФ РУз от 18 мая 2015 года № 44 — изменения в форму №2 к Приказу № 140 (рег. № 1209-6).</w:t>
      </w:r>
    </w:p>
    <w:p>
      <w:pPr>
        <w:spacing w:after="80"/>
        <w:ind w:left="400"/>
      </w:pPr>
      <w:r>
        <w:rPr>
          <w:b/>
          <w:sz w:val="22"/>
        </w:rPr>
        <w:t xml:space="preserve">10. </w:t>
      </w:r>
      <w:r>
        <w:rPr>
          <w:sz w:val="22"/>
        </w:rPr>
        <w:t>Приказ МФ РУз от 19 октября 2016 года № 80 — изменения к Приказу № 140 (рег. № 1209-7).</w:t>
      </w:r>
    </w:p>
    <w:p>
      <w:pPr>
        <w:spacing w:after="80"/>
        <w:ind w:left="400"/>
      </w:pPr>
      <w:r>
        <w:rPr>
          <w:b/>
          <w:sz w:val="22"/>
        </w:rPr>
        <w:t xml:space="preserve">11. </w:t>
      </w:r>
      <w:r>
        <w:rPr>
          <w:sz w:val="22"/>
        </w:rPr>
        <w:t>Приказ МФ РУз от 17 ноября 2017 года № 155 — изменения к Приказу № 140 (рег. № 1209-8).</w:t>
      </w:r>
    </w:p>
    <w:p>
      <w:pPr>
        <w:spacing w:after="80"/>
        <w:ind w:left="400"/>
      </w:pPr>
      <w:r>
        <w:rPr>
          <w:b/>
          <w:sz w:val="22"/>
        </w:rPr>
        <w:t xml:space="preserve">12. </w:t>
      </w:r>
      <w:r>
        <w:rPr>
          <w:sz w:val="22"/>
        </w:rPr>
        <w:t>Приказ МФ РУз от 1 февраля 2018 года № 16 — изменения к Приказу № 140 (рег. № 1209-9).</w:t>
      </w:r>
    </w:p>
    <w:p>
      <w:pPr>
        <w:spacing w:after="80"/>
        <w:ind w:left="400"/>
      </w:pPr>
      <w:r>
        <w:rPr>
          <w:b/>
          <w:sz w:val="22"/>
        </w:rPr>
        <w:t xml:space="preserve">13. </w:t>
      </w:r>
      <w:r>
        <w:rPr>
          <w:sz w:val="22"/>
        </w:rPr>
        <w:t>Приказ МФ РУз от 23 января 2019 года № 10 — изменения к Приказу № 140 (рег. № 1209-10).</w:t>
      </w:r>
    </w:p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120"/>
        <w:jc w:val="center"/>
      </w:pPr>
      <w:r>
        <w:rPr>
          <w:b w:val="0"/>
          <w:i/>
          <w:color w:val="646464"/>
          <w:sz w:val="18"/>
        </w:rPr>
        <w:t>Источники: lex.uz/docs/7194617 (Приказ №181, рус.), lex.uz/docs/7194594 (Положение, узб.)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