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17B3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</w:pPr>
      <w:r>
        <w:rPr>
          <w:rFonts w:ascii="Times New Roman" w:hAnsi="Times New Roman" w:cs="Times New Roman"/>
          <w:b/>
          <w:bCs/>
          <w:noProof/>
          <w:kern w:val="0"/>
          <w:sz w:val="20"/>
          <w:szCs w:val="20"/>
        </w:rPr>
        <w:t>ТАБЛИЦА N 21</w:t>
      </w:r>
    </w:p>
    <w:p w14:paraId="6EA7FE7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3DDB517D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right"/>
        <w:rPr>
          <w:rFonts w:ascii="Virtec Times New Roman Uz" w:hAnsi="Virtec Times New Roman Uz" w:cs="Virtec Times New Roman Uz"/>
          <w:noProof/>
          <w:kern w:val="0"/>
          <w:sz w:val="24"/>
          <w:szCs w:val="24"/>
        </w:rPr>
      </w:pPr>
    </w:p>
    <w:p w14:paraId="21D1EBEC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КРАТКАЯ ИНФОРМАЦИЯ</w:t>
      </w:r>
    </w:p>
    <w:p w14:paraId="0D548977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 </w:t>
      </w:r>
    </w:p>
    <w:p w14:paraId="7F2A4DB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Налоги, платежи и сборы для физических лиц</w:t>
      </w:r>
    </w:p>
    <w:p w14:paraId="14F3EA6E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(не являющихся индивидуальными предпринимателями</w:t>
      </w:r>
    </w:p>
    <w:p w14:paraId="6C75312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и самозанятыми лицами)</w:t>
      </w:r>
    </w:p>
    <w:p w14:paraId="66EAE7E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8"/>
          <w:szCs w:val="8"/>
        </w:rPr>
      </w:pPr>
      <w:r>
        <w:rPr>
          <w:rFonts w:ascii="Times New Roman" w:hAnsi="Times New Roman" w:cs="Times New Roman"/>
          <w:noProof/>
          <w:kern w:val="0"/>
          <w:sz w:val="8"/>
          <w:szCs w:val="8"/>
        </w:rPr>
        <w:t xml:space="preserve">         </w:t>
      </w:r>
    </w:p>
    <w:p w14:paraId="5CCE6666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kern w:val="0"/>
          <w:sz w:val="28"/>
          <w:szCs w:val="28"/>
        </w:rPr>
        <w:t>на 2026 г.</w:t>
      </w:r>
    </w:p>
    <w:p w14:paraId="753B31B7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</w:t>
      </w:r>
    </w:p>
    <w:p w14:paraId="7AEF317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       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3"/>
        <w:gridCol w:w="1401"/>
        <w:gridCol w:w="1401"/>
        <w:gridCol w:w="1307"/>
        <w:gridCol w:w="1121"/>
        <w:gridCol w:w="1401"/>
        <w:gridCol w:w="2335"/>
      </w:tblGrid>
      <w:tr w:rsidR="006C7EDA" w14:paraId="20486A0D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5488E8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  <w:p w14:paraId="0B916A4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N</w:t>
            </w:r>
          </w:p>
          <w:p w14:paraId="64A5E7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BADFF1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6D1F47E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Плательщики</w:t>
            </w:r>
          </w:p>
          <w:p w14:paraId="6415639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9B9F5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243D42A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Облагаемая база</w:t>
            </w:r>
          </w:p>
          <w:p w14:paraId="5D33877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DFD46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51E4C29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Льготы</w:t>
            </w:r>
          </w:p>
          <w:p w14:paraId="500A242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18B0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3E36EB6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Ставки</w:t>
            </w:r>
          </w:p>
          <w:p w14:paraId="5BF2636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DD3A9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4E1DA59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Исчисление</w:t>
            </w:r>
          </w:p>
          <w:p w14:paraId="6265AF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209A23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76A0784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Расчеты и уплата</w:t>
            </w:r>
          </w:p>
          <w:p w14:paraId="053368C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79ACE57F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19259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00C362B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I. НАЛОГИ, УПЛАЧИВАЕМЫЕ ВСЕМИ ФИЗИЧЕСКИМИ ЛИЦАМИ</w:t>
            </w:r>
          </w:p>
          <w:p w14:paraId="62AF49B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C7EDA" w14:paraId="26831B20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ED3EE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</w:t>
            </w:r>
          </w:p>
          <w:p w14:paraId="409246C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НДФЛ</w:t>
            </w:r>
          </w:p>
          <w:p w14:paraId="46B2490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5)</w:t>
            </w:r>
          </w:p>
          <w:p w14:paraId="40A8CB1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46CF1F53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B46D3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DF77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 - резиденты и нерезиденты РУз, получающие доходы от источников в РУз (статья 364 НК)</w:t>
            </w:r>
          </w:p>
          <w:p w14:paraId="0A9AB9E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B164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Совокупный доход налогоплательщика (статья 365 НК)</w:t>
            </w:r>
          </w:p>
          <w:p w14:paraId="2BF1AA0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5D16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</w:p>
          <w:p w14:paraId="6D0F08A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статьями 378, 379, и 380 НК;</w:t>
            </w:r>
          </w:p>
          <w:p w14:paraId="74CAC28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2196B91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2E47C32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5BB0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Ставки:</w:t>
            </w:r>
          </w:p>
          <w:p w14:paraId="66B4E6E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основная - 12%;</w:t>
            </w:r>
          </w:p>
          <w:p w14:paraId="450B840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дивиденды и проценты - 5%;</w:t>
            </w:r>
          </w:p>
          <w:p w14:paraId="65D43B3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нерезиденты в статье 382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</w:t>
            </w:r>
          </w:p>
          <w:p w14:paraId="19F145F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5CE0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Исчисляется:</w:t>
            </w:r>
          </w:p>
          <w:p w14:paraId="578EA0D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налоговыми агентами, выплачивающими доход налогоплательщику;</w:t>
            </w:r>
          </w:p>
          <w:p w14:paraId="15BD22F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налогоплатель-</w:t>
            </w:r>
          </w:p>
          <w:p w14:paraId="13F2FC7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щиком самостоя-</w:t>
            </w:r>
          </w:p>
          <w:p w14:paraId="6BCBB3B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тельно (статья 385 НК)</w:t>
            </w:r>
          </w:p>
          <w:p w14:paraId="00BB9CC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7A317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Отчетный период для агентов - месяц (статья 384 НК).</w:t>
            </w:r>
          </w:p>
          <w:p w14:paraId="42C8A4C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15 числа месяца, следующего за отчетным периодом, по итогам года - не позднее 15 февраля следующего года (статья 389 НК).</w:t>
            </w:r>
          </w:p>
          <w:p w14:paraId="2665757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агентом одновременно с выплатой доходов, но не позднее сроков представления отчетности (статья 390 НК)</w:t>
            </w:r>
          </w:p>
          <w:p w14:paraId="1D57A7D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C7EDA" w14:paraId="707BC133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F197C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5958AB5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на имущество физических лиц</w:t>
            </w:r>
          </w:p>
          <w:p w14:paraId="39B1568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8)</w:t>
            </w:r>
          </w:p>
          <w:p w14:paraId="635289C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C7EDA" w14:paraId="215CBF72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FA6A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2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A437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имеющие в собственности имущество (статья 418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</w:t>
            </w:r>
          </w:p>
          <w:p w14:paraId="581A24E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06D6D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Кадастровая стоимость имущества, определяемая госорганом (статья 420 НК)</w:t>
            </w:r>
          </w:p>
          <w:p w14:paraId="676CA19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EF8A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421</w:t>
            </w:r>
            <w:r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</w:t>
            </w:r>
          </w:p>
          <w:p w14:paraId="1B15719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B26DD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статьей 422 НК</w:t>
            </w:r>
          </w:p>
          <w:p w14:paraId="782BAFD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0668F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производится налоговыми органами по месту расположения объекта (статья 423 НК)</w:t>
            </w:r>
          </w:p>
          <w:p w14:paraId="73F5575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4AAB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до 1 марта вручают платежное извещение об уплате налога.</w:t>
            </w:r>
          </w:p>
          <w:p w14:paraId="67B680C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равными долями до 15 апреля и 15 октября (статья 423 НК)</w:t>
            </w:r>
          </w:p>
          <w:p w14:paraId="5F78338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3C2CC060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293B3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0ED2E0F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Земельный налог с физических лиц</w:t>
            </w:r>
          </w:p>
          <w:p w14:paraId="4B0E228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10)</w:t>
            </w:r>
          </w:p>
          <w:p w14:paraId="7850507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030C046D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CEB2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lastRenderedPageBreak/>
              <w:t>3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7286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имеющие земельные участки на правах собственности, владения, пользования или аренды (статья 433 НК)</w:t>
            </w:r>
          </w:p>
          <w:p w14:paraId="3016492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0D3B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Площадь земельных участков по данным госоргана, осуществляющего регистрацию прав на недвижимость (статья 435 НК)</w:t>
            </w:r>
          </w:p>
          <w:p w14:paraId="54C764C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71265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436 НК</w:t>
            </w:r>
          </w:p>
          <w:p w14:paraId="0FD7C1F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39516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437 НК</w:t>
            </w:r>
          </w:p>
          <w:p w14:paraId="28F51A5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FB6F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 производится налоговыми органами по месту расположения земельного участка (статья 439 НК)</w:t>
            </w:r>
          </w:p>
          <w:p w14:paraId="361B399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DF6A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до 1 марта вручают платежное извещение об уплате налога (статья 439 НК).</w:t>
            </w:r>
          </w:p>
          <w:p w14:paraId="746B59F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равными долями до 15 апреля и 15 октября (статья 440 НК)</w:t>
            </w:r>
          </w:p>
          <w:p w14:paraId="55679D5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293A975A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279B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02D3B96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II. НАЛОГИ, ПЛАТЕЖИ И СБОРЫ, УПЛАЧИВАЕМЫЕ</w:t>
            </w:r>
          </w:p>
          <w:p w14:paraId="0F7C41B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ОТДЕЛЬНЫМИ ФИЗИЧЕСКИМИ ЛИЦАМИ ПРИ ВОЗНИКНОВЕНИИ</w:t>
            </w:r>
          </w:p>
          <w:p w14:paraId="2CF1E42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СООТВЕТСТВУЮЩИХ ОБЪЕКТОВ И СУБЪЕКТОВ</w:t>
            </w:r>
          </w:p>
          <w:p w14:paraId="56CA480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7358CAC4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CD2AD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24F251F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Акцизный налог</w:t>
            </w:r>
          </w:p>
          <w:p w14:paraId="7F3EC62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физических лиц, производящих (оказывающих) </w:t>
            </w:r>
          </w:p>
          <w:p w14:paraId="2645593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и завозящих подакцизные товары и услуги)</w:t>
            </w:r>
          </w:p>
          <w:p w14:paraId="4D7CFEC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3)</w:t>
            </w:r>
          </w:p>
          <w:p w14:paraId="4F470A0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</w:t>
            </w:r>
          </w:p>
        </w:tc>
      </w:tr>
      <w:tr w:rsidR="006C7EDA" w14:paraId="671A4FA6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67B6B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4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D876F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производящие подакцизные товары;</w:t>
            </w:r>
          </w:p>
          <w:p w14:paraId="2C58092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лица, перемещающие подакцизные товары через таможенную границу РУз;</w:t>
            </w:r>
          </w:p>
          <w:p w14:paraId="486475A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283 НК)</w:t>
            </w:r>
          </w:p>
          <w:p w14:paraId="5101BED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0302A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Реализация подакцизных товаров;</w:t>
            </w:r>
          </w:p>
          <w:p w14:paraId="4D8A155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ввоз подакцизных товаров;</w:t>
            </w:r>
          </w:p>
          <w:p w14:paraId="45608AE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и другие (статья 284 НК)</w:t>
            </w:r>
          </w:p>
          <w:p w14:paraId="23BEC9B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4E4C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284 НК и таблицей N 42</w:t>
            </w:r>
          </w:p>
          <w:p w14:paraId="7BD89E9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49D30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в соответствии со статьями 289-1, 289-2, 289-3 НК</w:t>
            </w:r>
          </w:p>
          <w:p w14:paraId="6B30FC2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6F4E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Исчисление:</w:t>
            </w:r>
          </w:p>
          <w:p w14:paraId="2A2E48B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 фиксированной ставке;</w:t>
            </w:r>
          </w:p>
          <w:p w14:paraId="4CA8658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в процентах;</w:t>
            </w:r>
          </w:p>
          <w:p w14:paraId="734CC09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-по комбинированным ставкам, состоящим из фиксированной и процентной ставок (статьи 285 и 290 НК)</w:t>
            </w:r>
          </w:p>
          <w:p w14:paraId="6285500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CCB7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месяц (статья 291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НК).</w:t>
            </w:r>
          </w:p>
          <w:p w14:paraId="15F6EF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не позднее 10 числа месяца, следующего за налоговым периодом (статья 292 НК).</w:t>
            </w:r>
          </w:p>
          <w:p w14:paraId="3D4DBAD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отчетности (статья 293 НК).</w:t>
            </w:r>
          </w:p>
          <w:p w14:paraId="6A069C2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По завозимым товарам - до принятия или одновременно с принятием таможенной декларации (статья 327 ТК)</w:t>
            </w:r>
          </w:p>
          <w:p w14:paraId="1AA2802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754CB7A4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E6F1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</w:t>
            </w:r>
          </w:p>
          <w:p w14:paraId="62A8B2C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Налог за пользование недрами </w:t>
            </w:r>
          </w:p>
          <w:p w14:paraId="7CDE511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недропользователей - физических лиц) </w:t>
            </w:r>
          </w:p>
          <w:p w14:paraId="77D96A9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12)</w:t>
            </w:r>
          </w:p>
          <w:p w14:paraId="6ADB2CA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6C7EDA" w14:paraId="62EC02B2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DF89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5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706A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Недропользователи - физические лица, осуществляющие поиск и разведку месторождений, добычу полезных ископаемых, извлечение полезных компонентов из минерального сырья (статья 449 НК)</w:t>
            </w:r>
          </w:p>
          <w:p w14:paraId="1BB8402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81736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добытого (извлеченного) полезного ископаемого;</w:t>
            </w:r>
          </w:p>
          <w:p w14:paraId="2F3422F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стоимость объема фактической реализации добытых (извлеченных) черных, драгоценных, цветных и радиоактивных металлов, а также редких и редкоземельных элементов (статья 451 НК)</w:t>
            </w:r>
          </w:p>
          <w:p w14:paraId="7E2DFF3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A50EF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</w:t>
            </w:r>
            <w:r>
              <w:rPr>
                <w:rFonts w:ascii="Times New Roman" w:hAnsi="Times New Roman" w:cs="Times New Roman"/>
                <w:noProof/>
                <w:color w:val="008080"/>
                <w:kern w:val="0"/>
                <w:sz w:val="20"/>
                <w:szCs w:val="20"/>
              </w:rPr>
              <w:t xml:space="preserve"> статьями 449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, 450 НК и таблицей N 42</w:t>
            </w:r>
          </w:p>
          <w:p w14:paraId="683BEAE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E88B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налога установлены статьей 452 НК</w:t>
            </w:r>
          </w:p>
          <w:p w14:paraId="0BBF993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4B5E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налогооблагаемой базы и установленной ставки (статья 454 НК)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A4501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Налоговый период - календарный год (статья 453 НК).</w:t>
            </w:r>
          </w:p>
          <w:p w14:paraId="34A15A0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Отчетность - один раз в год не позднее 1 февраля года, следующего за налоговым периодом.</w:t>
            </w:r>
          </w:p>
          <w:p w14:paraId="2D075F9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не позднее срока представления налоговой отчетности (статья 454 НК)</w:t>
            </w:r>
          </w:p>
          <w:p w14:paraId="0EEADB4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</w:tr>
      <w:tr w:rsidR="006C7EDA" w14:paraId="5D65DF4D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04BD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 </w:t>
            </w:r>
          </w:p>
          <w:p w14:paraId="3ED9730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Налог за пользование водными ресурсами</w:t>
            </w:r>
          </w:p>
          <w:p w14:paraId="371DE4A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(при использовании воды)</w:t>
            </w:r>
          </w:p>
          <w:p w14:paraId="10D994B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11)</w:t>
            </w:r>
          </w:p>
          <w:p w14:paraId="062BE7B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6C7EDA" w14:paraId="5EC09624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47C2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6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8C466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- физические лица, имеющие объекты недвижимого имущества нежилого назначения, предназначенные для предпринимательской деятельности и (или) извлечения дохода; </w:t>
            </w:r>
          </w:p>
          <w:p w14:paraId="2074B90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дехканские хозяйства, а также физические лица, имеющие земли сельскохозяйственного назначения (статья 441 НК)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EB077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Объем использованной воды.</w:t>
            </w:r>
          </w:p>
          <w:p w14:paraId="2B89BE2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10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Для дехканских хозяйств, а также для физических лиц, имеющих земли сельскохозяйственного назначения и объекты недвижимого имущества нежилого назначения, предназначенные для предпринимательской деятельности и (или) извлечения дохода, налоговая база определяется налоговыми органами на основании данных, представленных уполномоченным органом в области водопользования и водопотребления  (статья 443 НК)</w:t>
            </w:r>
          </w:p>
          <w:p w14:paraId="5E519C0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10" w:righ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B0CD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 частью 2 статьи 442 НК;</w:t>
            </w:r>
          </w:p>
          <w:p w14:paraId="1D8931B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3345BCA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15635E3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21132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- в соответствии со статьей 445 НК</w:t>
            </w:r>
          </w:p>
          <w:p w14:paraId="2FE8B67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C609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исходя из налоговой базы и установленных ставок. Налоговые органы определяют сумму налога исходя из налоговой базы и налоговых ставок.</w:t>
            </w:r>
          </w:p>
          <w:p w14:paraId="2901B87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Налоговые органы вручают плательщику, платежное извещение об уплате налога не позднее 1 марта года, следующего</w:t>
            </w:r>
            <w:r>
              <w:rPr>
                <w:rFonts w:ascii="Arial" w:hAnsi="Arial" w:cs="Arial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за налоговым периодом (статья 447 НК)</w:t>
            </w:r>
          </w:p>
          <w:p w14:paraId="420EE85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F3A75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налога дехканскими хозяйствами, а также физическими лицами, имеющими земли сельскохозяйственного назначения и объекты недвижимого имущества нежилого назначения, предназначенные для предпринимательской деятельности и (или) извлечения дохода, производится один раз в год не позднее 1 мая года, следующего за налоговым периодом (статья 448 НК)</w:t>
            </w:r>
          </w:p>
          <w:p w14:paraId="2E67CA1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C7EDA" w14:paraId="7D21C502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4CCF5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</w:t>
            </w:r>
          </w:p>
          <w:p w14:paraId="26BB753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Таможенная пошлина</w:t>
            </w:r>
          </w:p>
          <w:p w14:paraId="008D217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физических лиц, завозящих товары) </w:t>
            </w:r>
          </w:p>
          <w:p w14:paraId="414A961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15)</w:t>
            </w:r>
          </w:p>
          <w:p w14:paraId="656C0C5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</w:tr>
      <w:tr w:rsidR="006C7EDA" w14:paraId="07F15080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FDD6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7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2DA60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 декларанты в соответствии со статьей 295</w:t>
            </w:r>
            <w:r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ТК</w:t>
            </w:r>
          </w:p>
          <w:p w14:paraId="1F479D8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24FD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516D5C6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F5DF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со:</w:t>
            </w:r>
          </w:p>
          <w:p w14:paraId="1045D36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статьями 292, 297, 394 - 406 ТК;</w:t>
            </w:r>
          </w:p>
          <w:p w14:paraId="61CC199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таблицей N 42;</w:t>
            </w:r>
          </w:p>
          <w:p w14:paraId="6DFF9E4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отдельные временнные налоговые льготы в соответствии со статьей 483 НК</w:t>
            </w:r>
          </w:p>
          <w:p w14:paraId="02673E5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F6CE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Ставки установлены в Приложении N </w:t>
            </w:r>
            <w:r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  <w:u w:val="single"/>
              </w:rPr>
              <w:t>1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к Постановлению Президента РУз от 29.06.2018 г. N ПП-3818 (статья 293 ТК)</w:t>
            </w:r>
          </w:p>
          <w:p w14:paraId="2991462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C9F5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 ТК)</w:t>
            </w:r>
          </w:p>
          <w:p w14:paraId="41BA3C7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ADF22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4C307F7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7B97C1C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6C7EDA" w14:paraId="3470D68A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9FF5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</w:t>
            </w:r>
          </w:p>
          <w:p w14:paraId="47B47E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Таможенные сборы</w:t>
            </w:r>
          </w:p>
          <w:p w14:paraId="7264BCB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(для физических лиц, завозящих товары) </w:t>
            </w:r>
          </w:p>
          <w:p w14:paraId="1DA8099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16)</w:t>
            </w:r>
          </w:p>
          <w:p w14:paraId="528431A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C7EDA" w14:paraId="36F0FE6E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338E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8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0C09A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 декларанты в соответствии со статьей 295 ТК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DA596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стоимость товара и (или) его количество (статья 322 ТК)</w:t>
            </w:r>
          </w:p>
          <w:p w14:paraId="06A49E3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553BC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в соответствии со статьей 299 ТК</w:t>
            </w:r>
          </w:p>
          <w:p w14:paraId="04E31EC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2192B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8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Приложении N 1 к Постановлению КМ РУз от 09.11.2020 г. N 700</w:t>
            </w:r>
          </w:p>
          <w:p w14:paraId="5B05393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0AD3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Исчисляется декларантом (статья 323</w:t>
            </w:r>
            <w:r>
              <w:rPr>
                <w:rFonts w:ascii="Times New Roman" w:hAnsi="Times New Roman" w:cs="Times New Roman"/>
                <w:noProof/>
                <w:color w:val="0000FF"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ТК)</w:t>
            </w: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15C8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Таможенная декларация подается не позднее 15 календарных дней со дня представления товаров таможенному органу назначения (статья 261 ТК).</w:t>
            </w:r>
          </w:p>
          <w:p w14:paraId="1A37D9E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 - до принятия или одновременно с принятием таможенной декларации (статья 327 ТК)</w:t>
            </w:r>
          </w:p>
          <w:p w14:paraId="6BAF162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</w:tr>
      <w:tr w:rsidR="006C7EDA" w14:paraId="580A17F8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5D80F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 </w:t>
            </w:r>
          </w:p>
          <w:p w14:paraId="5C29C77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Бонусы </w:t>
            </w:r>
          </w:p>
          <w:p w14:paraId="49D524F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(для недропользователей - физических лиц)</w:t>
            </w:r>
          </w:p>
          <w:p w14:paraId="10F8460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в соответствии с Законом "О недрах" (статья 21) </w:t>
            </w:r>
          </w:p>
          <w:p w14:paraId="1FA2CDF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17)</w:t>
            </w:r>
          </w:p>
          <w:p w14:paraId="43C42D4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6C7EDA" w14:paraId="7E15C98C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4665C1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9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BA5CB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уплачивают недропользователи за право осуществления деятельности по поиску и разведке полезных ископаемых;</w:t>
            </w:r>
          </w:p>
          <w:p w14:paraId="79842D9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уплачивают недропользователи за каждое коммерческое обнаружение месторождений полезных ископаемых</w:t>
            </w:r>
          </w:p>
          <w:p w14:paraId="5ED550B8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86877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Базой для исчисления бонуса коммерческого обнаружения является стоимость объема извлекаемых запасов полезных ископаемых</w:t>
            </w:r>
          </w:p>
          <w:p w14:paraId="1C0804A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A6358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0803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установлены в статье 21 Закона "О недрах"</w:t>
            </w:r>
          </w:p>
          <w:p w14:paraId="7223A7B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E5898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A7BB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5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Расчет бонуса коммерческого обнаружения представляется не позднее 25 дней со дня получения разрешения на право пользования участками недр для добычи полезных ископаемых.</w:t>
            </w:r>
          </w:p>
          <w:p w14:paraId="14C96D6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5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Уплата:</w:t>
            </w:r>
          </w:p>
          <w:p w14:paraId="0E77ED4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5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подписной бонус - не позднее 30 дней со дня получения разрешения;</w:t>
            </w:r>
          </w:p>
          <w:p w14:paraId="29D782B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5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- бонус коммерческого обнаружения - не позднее 90 дней со дня получения разрешения на право пользования участками недр для добычи полезных ископаемых</w:t>
            </w:r>
          </w:p>
          <w:p w14:paraId="4BBF1F0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255" w:right="13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</w:tr>
      <w:tr w:rsidR="006C7EDA" w14:paraId="2F7B84A3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E1EBAF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0A1B5AB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Государственная пошлина</w:t>
            </w:r>
          </w:p>
          <w:p w14:paraId="5674C70C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в соответствии с</w:t>
            </w: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Законом "О государственной пошлине" </w:t>
            </w:r>
          </w:p>
          <w:p w14:paraId="5904EEA6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18)</w:t>
            </w:r>
          </w:p>
          <w:p w14:paraId="2D44479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  </w:t>
            </w:r>
          </w:p>
        </w:tc>
      </w:tr>
      <w:tr w:rsidR="006C7EDA" w14:paraId="749350A3" w14:textId="77777777">
        <w:trPr>
          <w:jc w:val="center"/>
        </w:trPr>
        <w:tc>
          <w:tcPr>
            <w:tcW w:w="2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C22B4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10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EC23C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Физические лица, обращающиеся в уполномоченные учреждения и (или) к должностным лицам (статья 4 Закона "О государственной пошлине")</w:t>
            </w:r>
          </w:p>
          <w:p w14:paraId="2E25D267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580F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Объекты взимания определены в статье 5 Закона "О государственной пошлине"</w:t>
            </w:r>
          </w:p>
          <w:p w14:paraId="7A31BC33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  </w:t>
            </w:r>
          </w:p>
        </w:tc>
        <w:tc>
          <w:tcPr>
            <w:tcW w:w="7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DF885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Льготы определены главой 2 Закона "О государственной пошлине"</w:t>
            </w:r>
          </w:p>
          <w:p w14:paraId="7003FA3A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  <w:tc>
          <w:tcPr>
            <w:tcW w:w="6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A3833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Ставки определены в Приложении к Закону "О государственной пошлине"</w:t>
            </w:r>
          </w:p>
          <w:p w14:paraId="12ED066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  <w:tc>
          <w:tcPr>
            <w:tcW w:w="75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1AA2B0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/>
              <w:rPr>
                <w:rFonts w:ascii="Virtec Times New Roman Uz" w:hAnsi="Virtec Times New Roman Uz" w:cs="Virtec Times New Roman Uz"/>
                <w:noProof/>
                <w:kern w:val="0"/>
                <w:sz w:val="24"/>
                <w:szCs w:val="24"/>
              </w:rPr>
            </w:pPr>
          </w:p>
        </w:tc>
        <w:tc>
          <w:tcPr>
            <w:tcW w:w="13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FFF8B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>Госпошлина уплачивается до совершения юридически значимых действий, за которые она взимается, и (или) до выдачи документов уполномоченными на то учреждениями (должностными лицами) (статья 17 Закона "О государственной пошлине")</w:t>
            </w:r>
          </w:p>
          <w:p w14:paraId="5E5B6DE2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ind w:left="195" w:right="135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 </w:t>
            </w:r>
          </w:p>
        </w:tc>
      </w:tr>
      <w:tr w:rsidR="006C7EDA" w14:paraId="130234A4" w14:textId="77777777">
        <w:trPr>
          <w:jc w:val="center"/>
        </w:trPr>
        <w:tc>
          <w:tcPr>
            <w:tcW w:w="5000" w:type="pct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897FB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 xml:space="preserve">        </w:t>
            </w:r>
          </w:p>
          <w:p w14:paraId="7FF65FAE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kern w:val="0"/>
                <w:sz w:val="20"/>
                <w:szCs w:val="20"/>
              </w:rPr>
              <w:t>Сборы</w:t>
            </w:r>
          </w:p>
          <w:p w14:paraId="29C1973D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noProof/>
                <w:kern w:val="0"/>
                <w:sz w:val="20"/>
                <w:szCs w:val="20"/>
              </w:rPr>
              <w:t>(более подробно в таблице 13)</w:t>
            </w:r>
          </w:p>
          <w:p w14:paraId="02D3D0E9" w14:textId="77777777" w:rsidR="006C7EDA" w:rsidRDefault="006C7E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kern w:val="0"/>
                <w:sz w:val="20"/>
                <w:szCs w:val="20"/>
              </w:rPr>
              <w:t xml:space="preserve">     </w:t>
            </w:r>
          </w:p>
        </w:tc>
      </w:tr>
    </w:tbl>
    <w:p w14:paraId="56AA41A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  </w:t>
      </w:r>
    </w:p>
    <w:p w14:paraId="5CA6B9B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Times New Roman" w:hAnsi="Times New Roman" w:cs="Times New Roman"/>
          <w:noProof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t xml:space="preserve">    </w:t>
      </w:r>
    </w:p>
    <w:p w14:paraId="032F1426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249C8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79656D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D8D63F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41FFD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300722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3294CD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274BC4D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368AFAA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227D07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C765368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26A8A4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46D8C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4F6F2C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0CBB34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1A86FB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D1EA8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11E7E2E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9DB7556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31612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868C0DA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5BB4123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BBEC2A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03EE3C6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7B511FA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87F5EA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5E839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9EBBCD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3B803F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57C99E9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829333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F9DDDC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652FD1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8C4C369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F895B6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3834F9C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F91F66E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DA79D0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23FB87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1945337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24968B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542A7D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92CE26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9F57AD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975FDD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E971CD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63AE6E9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B93AF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917995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961FA9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7ED6585A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08601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C5A5141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FEC05B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A4934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B1E08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3008D6A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73DEF95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E1CDE6C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48DD76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08CB813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7E72D7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B0875F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EA1CEEE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08C70A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6C9A71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211C8FC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5FC38F07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C52F2AB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5347AAA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9529F0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1AABBA3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4DED20A0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1D096DBF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0DC40724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34529FE2" w14:textId="77777777" w:rsidR="006C7EDA" w:rsidRDefault="006C7EDA" w:rsidP="006C7EDA">
      <w:pPr>
        <w:autoSpaceDE w:val="0"/>
        <w:autoSpaceDN w:val="0"/>
        <w:adjustRightInd w:val="0"/>
        <w:spacing w:after="0" w:line="240" w:lineRule="auto"/>
        <w:ind w:firstLine="570"/>
        <w:rPr>
          <w:rFonts w:ascii="Virtec Times New Roman Uz" w:hAnsi="Virtec Times New Roman Uz" w:cs="Virtec Times New Roman Uz"/>
          <w:kern w:val="0"/>
          <w:sz w:val="24"/>
          <w:szCs w:val="24"/>
        </w:rPr>
      </w:pPr>
    </w:p>
    <w:p w14:paraId="60CC7698" w14:textId="77777777" w:rsidR="005A7E82" w:rsidRDefault="005A7E82"/>
    <w:sectPr w:rsidR="005A7E82" w:rsidSect="006C7EDA">
      <w:pgSz w:w="11906" w:h="16838"/>
      <w:pgMar w:top="1134" w:right="850" w:bottom="1134" w:left="1701" w:header="709" w:footer="709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irtec Times New Roman Uz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EDA"/>
    <w:rsid w:val="000F3696"/>
    <w:rsid w:val="004C45FD"/>
    <w:rsid w:val="005A7E82"/>
    <w:rsid w:val="006C7EDA"/>
    <w:rsid w:val="00F5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D2FA5"/>
  <w15:chartTrackingRefBased/>
  <w15:docId w15:val="{E8CA521C-CBC9-4DD0-96CD-FC5EB194B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E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E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E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E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E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ED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ED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E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E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E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E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E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E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ED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E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ED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7E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1461</Words>
  <Characters>8331</Characters>
  <Application>Microsoft Office Word</Application>
  <DocSecurity>0</DocSecurity>
  <Lines>69</Lines>
  <Paragraphs>19</Paragraphs>
  <ScaleCrop>false</ScaleCrop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Sabina Gafurova</dc:creator>
  <cp:keywords/>
  <dc:description/>
  <cp:lastModifiedBy>Sabina Gafurova</cp:lastModifiedBy>
  <cp:revision>1</cp:revision>
  <dcterms:created xsi:type="dcterms:W3CDTF">2026-05-26T11:30:00Z</dcterms:created>
  <dcterms:modified xsi:type="dcterms:W3CDTF">2026-05-26T11:30:00Z</dcterms:modified>
</cp:coreProperties>
</file>