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color w:val="1E1C11" w:themeColor="background2" w:themeShade="19"/>
          <w:sz w:val="36"/>
          <w:szCs w:val="36"/>
        </w:rPr>
      </w:pPr>
      <w:r>
        <w:rPr>
          <w:rFonts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 xml:space="preserve">1. </w:t>
      </w:r>
      <w:r>
        <w:rPr>
          <w:rFonts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Convert the following values to binary using “divide by 2.” Show the stack of remainders.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17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45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96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-360" w:leftChars="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 xml:space="preserve">2. </w:t>
      </w: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Convert the following infix expressions to prefix (use full parentheses):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(A+B)*(C+D)*(E+F)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A+((B+C)*(D+E))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240" w:lineRule="auto"/>
        <w:ind w:left="720" w:hanging="360"/>
        <w:rPr>
          <w:color w:val="1E1C11" w:themeColor="background2" w:themeShade="19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caps w:val="0"/>
          <w:color w:val="1E1C11" w:themeColor="background2" w:themeShade="19"/>
          <w:spacing w:val="0"/>
          <w:sz w:val="40"/>
          <w:szCs w:val="40"/>
          <w:shd w:val="clear" w:fill="FFFFFF"/>
        </w:rPr>
        <w:t>A*B*C*D+E+F</w:t>
      </w:r>
      <w:bookmarkStart w:id="0" w:name="_GoBack"/>
      <w:bookmarkEnd w:id="0"/>
    </w:p>
    <w:p>
      <w:pPr>
        <w:spacing w:line="240" w:lineRule="auto"/>
        <w:rPr>
          <w:rFonts w:hint="default"/>
          <w:color w:val="1E1C11" w:themeColor="background2" w:themeShade="19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6A663"/>
    <w:multiLevelType w:val="multilevel"/>
    <w:tmpl w:val="BEF6A6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FEAB6B9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2018-10-21T00:52:00Z</dcterms:created>
  <dc:creator>deepto</dc:creator>
  <cp:lastModifiedBy>deepto</cp:lastModifiedBy>
  <dcterms:modified xsi:type="dcterms:W3CDTF">2018-10-22T21:34:35Z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