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347" w:rsidRDefault="001E5A10" w:rsidP="00BF1173">
      <w:pPr>
        <w:spacing w:line="360" w:lineRule="auto"/>
        <w:jc w:val="center"/>
        <w:rPr>
          <w:rFonts w:ascii="Times New Roman" w:hAnsi="Times New Roman" w:cs="Times New Roman"/>
          <w:sz w:val="48"/>
          <w:szCs w:val="48"/>
        </w:rPr>
      </w:pPr>
      <w:r w:rsidRPr="001E5A10">
        <w:rPr>
          <w:rFonts w:ascii="Times New Roman" w:hAnsi="Times New Roman" w:cs="Times New Roman"/>
          <w:sz w:val="48"/>
          <w:szCs w:val="48"/>
        </w:rPr>
        <w:t>An Explainable AI Approach for Pulmonary Edema Classification Using Chest X-Ray Images</w:t>
      </w:r>
    </w:p>
    <w:p w:rsidR="001E5A10" w:rsidRPr="00550888" w:rsidRDefault="00F42D29" w:rsidP="00FA770B">
      <w:pPr>
        <w:pBdr>
          <w:top w:val="single" w:sz="12" w:space="1" w:color="auto"/>
        </w:pBdr>
        <w:spacing w:line="360" w:lineRule="auto"/>
        <w:jc w:val="center"/>
        <w:rPr>
          <w:rFonts w:ascii="Times New Roman" w:hAnsi="Times New Roman" w:cs="Times New Roman"/>
          <w:sz w:val="20"/>
          <w:szCs w:val="48"/>
          <w:vertAlign w:val="superscript"/>
        </w:rPr>
      </w:pPr>
      <w:r>
        <w:rPr>
          <w:rFonts w:ascii="Times New Roman" w:hAnsi="Times New Roman" w:cs="Times New Roman"/>
          <w:sz w:val="20"/>
          <w:szCs w:val="48"/>
        </w:rPr>
        <w:t>Boniface Ben Sankwa</w:t>
      </w:r>
      <w:r w:rsidR="00550888">
        <w:rPr>
          <w:rFonts w:ascii="Times New Roman" w:hAnsi="Times New Roman" w:cs="Times New Roman"/>
          <w:sz w:val="20"/>
          <w:szCs w:val="48"/>
          <w:vertAlign w:val="superscript"/>
        </w:rPr>
        <w:t>1</w:t>
      </w:r>
      <w:r w:rsidR="00010323">
        <w:rPr>
          <w:rFonts w:ascii="Times New Roman" w:hAnsi="Times New Roman" w:cs="Times New Roman"/>
          <w:sz w:val="20"/>
          <w:szCs w:val="48"/>
        </w:rPr>
        <w:t xml:space="preserve">, </w:t>
      </w:r>
      <w:r w:rsidR="00463047">
        <w:rPr>
          <w:rFonts w:ascii="Times New Roman" w:hAnsi="Times New Roman" w:cs="Times New Roman"/>
          <w:sz w:val="20"/>
          <w:szCs w:val="48"/>
        </w:rPr>
        <w:t xml:space="preserve">Charles O. </w:t>
      </w:r>
      <w:r w:rsidR="004945E4">
        <w:rPr>
          <w:rFonts w:ascii="Times New Roman" w:hAnsi="Times New Roman" w:cs="Times New Roman"/>
          <w:sz w:val="20"/>
          <w:szCs w:val="48"/>
        </w:rPr>
        <w:t>Nyatega</w:t>
      </w:r>
      <w:r w:rsidR="00550888">
        <w:rPr>
          <w:rFonts w:ascii="Times New Roman" w:hAnsi="Times New Roman" w:cs="Times New Roman"/>
          <w:sz w:val="20"/>
          <w:szCs w:val="48"/>
          <w:vertAlign w:val="superscript"/>
        </w:rPr>
        <w:t>2</w:t>
      </w:r>
      <w:r w:rsidR="004945E4">
        <w:rPr>
          <w:rFonts w:ascii="Times New Roman" w:hAnsi="Times New Roman" w:cs="Times New Roman"/>
          <w:sz w:val="20"/>
          <w:szCs w:val="48"/>
        </w:rPr>
        <w:t>,</w:t>
      </w:r>
      <w:r w:rsidR="00203ACF">
        <w:rPr>
          <w:rFonts w:ascii="Times New Roman" w:hAnsi="Times New Roman" w:cs="Times New Roman"/>
          <w:sz w:val="20"/>
          <w:szCs w:val="48"/>
        </w:rPr>
        <w:t>Candida N. Mwisomba</w:t>
      </w:r>
      <w:r w:rsidR="00203ACF">
        <w:rPr>
          <w:rFonts w:ascii="Times New Roman" w:hAnsi="Times New Roman" w:cs="Times New Roman"/>
          <w:sz w:val="20"/>
          <w:szCs w:val="48"/>
          <w:vertAlign w:val="superscript"/>
        </w:rPr>
        <w:t>3</w:t>
      </w:r>
      <w:r w:rsidR="00203ACF">
        <w:rPr>
          <w:rFonts w:ascii="Times New Roman" w:hAnsi="Times New Roman" w:cs="Times New Roman"/>
          <w:sz w:val="20"/>
          <w:szCs w:val="48"/>
        </w:rPr>
        <w:t>,</w:t>
      </w:r>
      <w:r w:rsidR="00010323">
        <w:rPr>
          <w:rFonts w:ascii="Times New Roman" w:hAnsi="Times New Roman" w:cs="Times New Roman"/>
          <w:sz w:val="20"/>
          <w:szCs w:val="48"/>
        </w:rPr>
        <w:t xml:space="preserve"> </w:t>
      </w:r>
      <w:r w:rsidR="00463047">
        <w:rPr>
          <w:rFonts w:ascii="Times New Roman" w:hAnsi="Times New Roman" w:cs="Times New Roman"/>
          <w:sz w:val="20"/>
          <w:szCs w:val="48"/>
        </w:rPr>
        <w:t>Joseph S. Salawa</w:t>
      </w:r>
      <w:r w:rsidR="00203ACF">
        <w:rPr>
          <w:rFonts w:ascii="Times New Roman" w:hAnsi="Times New Roman" w:cs="Times New Roman"/>
          <w:sz w:val="20"/>
          <w:szCs w:val="48"/>
          <w:vertAlign w:val="superscript"/>
        </w:rPr>
        <w:t>4</w:t>
      </w:r>
    </w:p>
    <w:p w:rsidR="001E5A10" w:rsidRDefault="00193695" w:rsidP="00FA770B">
      <w:pPr>
        <w:pBdr>
          <w:bottom w:val="single" w:sz="12" w:space="1" w:color="auto"/>
        </w:pBdr>
        <w:spacing w:line="360" w:lineRule="auto"/>
        <w:jc w:val="center"/>
        <w:rPr>
          <w:rFonts w:ascii="Times New Roman" w:hAnsi="Times New Roman" w:cs="Times New Roman"/>
          <w:sz w:val="20"/>
          <w:szCs w:val="48"/>
        </w:rPr>
      </w:pPr>
      <w:r>
        <w:rPr>
          <w:rFonts w:ascii="Times New Roman" w:hAnsi="Times New Roman" w:cs="Times New Roman"/>
          <w:sz w:val="20"/>
          <w:szCs w:val="48"/>
        </w:rPr>
        <w:t>Department of Electronics and Telecommunication Engineering</w:t>
      </w:r>
    </w:p>
    <w:p w:rsidR="007F4B7B" w:rsidRPr="007F4B7B" w:rsidRDefault="007F4B7B" w:rsidP="007F4B7B">
      <w:pPr>
        <w:sectPr w:rsidR="007F4B7B" w:rsidRPr="007F4B7B" w:rsidSect="00E63348">
          <w:footerReference w:type="default" r:id="rId8"/>
          <w:pgSz w:w="11909" w:h="16834" w:code="9"/>
          <w:pgMar w:top="1440" w:right="1440" w:bottom="1440" w:left="1440" w:header="720" w:footer="720" w:gutter="0"/>
          <w:cols w:space="720"/>
          <w:docGrid w:linePitch="360"/>
        </w:sectPr>
      </w:pPr>
    </w:p>
    <w:p w:rsidR="003C3F45" w:rsidRPr="00E31806" w:rsidRDefault="003C3F45" w:rsidP="00E31806">
      <w:pPr>
        <w:pStyle w:val="Title"/>
        <w:rPr>
          <w:rStyle w:val="Strong"/>
          <w:rFonts w:asciiTheme="majorHAnsi" w:hAnsiTheme="majorHAnsi"/>
          <w:b/>
          <w:bCs w:val="0"/>
          <w:sz w:val="40"/>
        </w:rPr>
      </w:pPr>
      <w:r w:rsidRPr="00E31806">
        <w:rPr>
          <w:rStyle w:val="Strong"/>
          <w:rFonts w:asciiTheme="majorHAnsi" w:hAnsiTheme="majorHAnsi"/>
          <w:b/>
          <w:bCs w:val="0"/>
          <w:sz w:val="40"/>
        </w:rPr>
        <w:t>ABSTRACT</w:t>
      </w:r>
    </w:p>
    <w:p w:rsidR="003C3F45" w:rsidRPr="003C3F45" w:rsidRDefault="003C3F45" w:rsidP="008E4717">
      <w:pPr>
        <w:pStyle w:val="HTMLPreformatted"/>
        <w:spacing w:line="360" w:lineRule="auto"/>
        <w:jc w:val="both"/>
        <w:rPr>
          <w:rFonts w:ascii="Times New Roman" w:hAnsi="Times New Roman" w:cs="Times New Roman"/>
          <w:sz w:val="24"/>
        </w:rPr>
      </w:pPr>
      <w:r w:rsidRPr="003C3F45">
        <w:rPr>
          <w:rFonts w:ascii="Times New Roman" w:hAnsi="Times New Roman" w:cs="Times New Roman"/>
          <w:b/>
          <w:sz w:val="24"/>
        </w:rPr>
        <w:t>Background:</w:t>
      </w:r>
      <w:r w:rsidRPr="003C3F45">
        <w:t xml:space="preserve"> </w:t>
      </w:r>
      <w:r w:rsidRPr="003C3F45">
        <w:rPr>
          <w:rFonts w:ascii="Times New Roman" w:hAnsi="Times New Roman" w:cs="Times New Roman"/>
          <w:sz w:val="24"/>
        </w:rPr>
        <w:t>Pulmonary edema is a life-threatening condition requiring</w:t>
      </w:r>
      <w:r w:rsidR="008E4717">
        <w:rPr>
          <w:rFonts w:ascii="Times New Roman" w:hAnsi="Times New Roman" w:cs="Times New Roman"/>
          <w:sz w:val="24"/>
        </w:rPr>
        <w:t xml:space="preserve"> </w:t>
      </w:r>
      <w:r w:rsidRPr="003C3F45">
        <w:rPr>
          <w:rFonts w:ascii="Times New Roman" w:hAnsi="Times New Roman" w:cs="Times New Roman"/>
          <w:sz w:val="24"/>
        </w:rPr>
        <w:t>rapid diagnosis from chest X-rays. Artificial intelligence may assist</w:t>
      </w:r>
      <w:r w:rsidR="008E4717">
        <w:rPr>
          <w:rFonts w:ascii="Times New Roman" w:hAnsi="Times New Roman" w:cs="Times New Roman"/>
          <w:sz w:val="24"/>
        </w:rPr>
        <w:t xml:space="preserve"> </w:t>
      </w:r>
      <w:r w:rsidRPr="003C3F45">
        <w:rPr>
          <w:rFonts w:ascii="Times New Roman" w:hAnsi="Times New Roman" w:cs="Times New Roman"/>
          <w:sz w:val="24"/>
        </w:rPr>
        <w:t>radiologists, but "black box" models</w:t>
      </w:r>
      <w:r w:rsidR="004B56BD">
        <w:rPr>
          <w:rFonts w:ascii="Times New Roman" w:hAnsi="Times New Roman" w:cs="Times New Roman"/>
          <w:sz w:val="24"/>
        </w:rPr>
        <w:t xml:space="preserve"> lack clinical interpretability, </w:t>
      </w:r>
      <w:r w:rsidR="004B56BD" w:rsidRPr="004B56BD">
        <w:rPr>
          <w:rFonts w:ascii="Times New Roman" w:hAnsi="Times New Roman" w:cs="Times New Roman"/>
          <w:sz w:val="24"/>
        </w:rPr>
        <w:t xml:space="preserve">limiting their adoption in medical practice </w:t>
      </w:r>
      <w:r w:rsidR="00F764F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{"citationItems":[{"id":"ITEM-1","itemData":{"DOI":"10.1109/JPROC.2021.3060483","ISSN":"15582256","abstract":"With the broader and highly successful usage of machine learning (ML) in industry and the sciences, there has been a growing demand for explainable artificial intelligence (XAI). Interpretability and explanation methods for gaining a better understanding of the problem-solving abilities and strategies of nonlinear ML, in particular, deep neural networks, are, therefore, receiving increased attention. In this work, we aim to: 1) provide a timely overview of this active emerging field, with a focus on 'post hoc' explanations, and explain its theoretical foundations; 2) put interpretability algorithms to a test both from a theory and comparative evaluation perspective using extensive simulations; 3) outline best practice aspects, i.e., how to best include interpretation methods into the standard usage of ML; and 4) demonstrate successful usage of XAI in a representative selection of application scenarios. Finally, we discuss challenges and possible future directions of this exciting foundational field of ML.","author":[{"dropping-particle":"","family":"Samek","given":"Wojciech","non-dropping-particle":"","parse-names":false,"suffix":""},{"dropping-particle":"","family":"Montavon","given":"Grégoire","non-dropping-particle":"","parse-names":false,"suffix":""},{"dropping-particle":"","family":"Lapuschkin","given":"Sebastian","non-dropping-particle":"","parse-names":false,"suffix":""},{"dropping-particle":"","family":"Anders","given":"Christopher J.","non-dropping-particle":"","parse-names":false,"suffix":""},{"dropping-particle":"","family":"Müller","given":"Klaus Robert","non-dropping-particle":"","parse-names":false,"suffix":""}],"container-title":"Proceedings of the IEEE","id":"ITEM-1","issue":"3","issued":{"date-parts":[["2021","3","1"]]},"page":"247-278","publisher":"Institute of Electrical and Electronics Engineers Inc.","title":"Explaining Deep Neural Networks and Beyond: A Review of Methods and Applications","type":"article-journal","volume":"109"},"uris":["http://www.mendeley.com/documents/?uuid=6aec0f67-c44c-34d5-a723-ee21df1d0b3c"]}],"mendeley":{"formattedCitation":"(Samek et al., 2021)","plainTextFormattedCitation":"(Samek et al., 2021)","previouslyFormattedCitation":"(Samek et al., 2021)"},"properties":{"noteIndex":0},"schema":"https://github.com/citation-style-language/schema/raw/master/csl-citation.json"}</w:instrText>
      </w:r>
      <w:r w:rsidR="00F764FC">
        <w:rPr>
          <w:rFonts w:ascii="Times New Roman" w:hAnsi="Times New Roman" w:cs="Times New Roman"/>
          <w:sz w:val="24"/>
        </w:rPr>
        <w:fldChar w:fldCharType="separate"/>
      </w:r>
      <w:r w:rsidR="005A46D7" w:rsidRPr="005A46D7">
        <w:rPr>
          <w:rFonts w:ascii="Times New Roman" w:hAnsi="Times New Roman" w:cs="Times New Roman"/>
          <w:noProof/>
          <w:sz w:val="24"/>
        </w:rPr>
        <w:t>(Samek et al., 2021)</w:t>
      </w:r>
      <w:r w:rsidR="00F764FC">
        <w:rPr>
          <w:rFonts w:ascii="Times New Roman" w:hAnsi="Times New Roman" w:cs="Times New Roman"/>
          <w:sz w:val="24"/>
        </w:rPr>
        <w:fldChar w:fldCharType="end"/>
      </w:r>
      <w:r w:rsidR="004B56BD" w:rsidRPr="004B56BD">
        <w:rPr>
          <w:rFonts w:ascii="Times New Roman" w:hAnsi="Times New Roman" w:cs="Times New Roman"/>
          <w:sz w:val="24"/>
        </w:rPr>
        <w:t>.</w:t>
      </w:r>
    </w:p>
    <w:p w:rsidR="003C3F45" w:rsidRPr="003C3F45" w:rsidRDefault="003C3F45" w:rsidP="008E4717">
      <w:pPr>
        <w:pStyle w:val="HTMLPreformatted"/>
        <w:spacing w:line="360" w:lineRule="auto"/>
        <w:jc w:val="both"/>
        <w:rPr>
          <w:rFonts w:ascii="Times New Roman" w:hAnsi="Times New Roman" w:cs="Times New Roman"/>
          <w:sz w:val="24"/>
        </w:rPr>
      </w:pPr>
      <w:r w:rsidRPr="003C3F45">
        <w:rPr>
          <w:rStyle w:val="token"/>
          <w:rFonts w:ascii="Times New Roman" w:eastAsiaTheme="majorEastAsia" w:hAnsi="Times New Roman" w:cs="Times New Roman"/>
          <w:b/>
          <w:sz w:val="24"/>
        </w:rPr>
        <w:t>Methods:</w:t>
      </w:r>
      <w:r>
        <w:rPr>
          <w:rStyle w:val="token"/>
          <w:rFonts w:ascii="Times New Roman" w:eastAsiaTheme="majorEastAsia" w:hAnsi="Times New Roman" w:cs="Times New Roman"/>
          <w:b/>
          <w:sz w:val="24"/>
        </w:rPr>
        <w:t xml:space="preserve"> </w:t>
      </w:r>
      <w:r w:rsidRPr="003C3F45">
        <w:rPr>
          <w:rFonts w:ascii="Times New Roman" w:hAnsi="Times New Roman" w:cs="Times New Roman"/>
          <w:sz w:val="24"/>
        </w:rPr>
        <w:t>We developed an explainable deep learning model using a DenseNet121 architecture with ImageNet transfer learning</w:t>
      </w:r>
      <w:r w:rsidR="004B56BD">
        <w:rPr>
          <w:rFonts w:ascii="Times New Roman" w:hAnsi="Times New Roman" w:cs="Times New Roman"/>
          <w:sz w:val="24"/>
        </w:rPr>
        <w:t xml:space="preserve"> </w:t>
      </w:r>
      <w:r w:rsidR="00E31763">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 lutional Network (DenseNet), which connects each layer to every other layer in a feed-forward fashion. Whereas traditional convolutional networks with L layers have L connections—one between each layer and its subsequent layer—our network has L(L+1) direct connections. For 2 each layer, the feature-maps of all preceding layers are used as inputs, and its own feature-maps are used as inputs into all subsequent layers. DenseNets have several com- pelling advantages: they alleviate the vanishing-gradient problem, strengthen feature propagation, encourage fea- ture reuse, and substantially reduce the number ofparame- ters. We evaluate our proposed architecture on four highly competitive object recognition benchmark tasks (CIFAR-10, CIFAR-100, SVHN, and ImageNet). DenseNets obtain sig- nificant improvements over the state-of-the-art on most of them, whilst requiring less computation to achieve high per- formance. Code and pre-trained models are available at https://github.com/liuzhuang13/DenseNet.","author":[{"dropping-particle":"","family":"Huang","given":"Gao","non-dropping-particle":"","parse-names":false,"suffix":""},{"dropping-particle":"Van Der","family":"Maaten","given":"Laurens","non-dropping-particle":"","parse-names":false,"suffix":""},{"dropping-particle":"","family":"Weinberger","given":"Kilian Q","non-dropping-particle":"","parse-names":false,"suffix":""}],"container-title":"Proceedings of the IEEE Conference on Computer Vision and Pattern Recognition (CVPR), 2017, pp.","id":"ITEM-1","issue":"3","issued":{"date-parts":[["2017"]]},"page":"4700-4708","title":"Densely Connected Convolutional Networks","type":"article-journal","volume":"109"},"uris":["http://www.mendeley.com/documents/?uuid=44a79a86-0a79-44a7-8028-bd29e2a07e0c"]}],"mendeley":{"formattedCitation":"(G. Huang et al., 2017)","plainTextFormattedCitation":"(G. Huang et al., 2017)","previouslyFormattedCitation":"(G. Huang et al., 2017)"},"properties":{"noteIndex":0},"schema":"https://github.com/citation-style-language/schema/raw/master/csl-citation.json"}</w:instrText>
      </w:r>
      <w:r w:rsidR="00E31763">
        <w:rPr>
          <w:rFonts w:ascii="Times New Roman" w:hAnsi="Times New Roman" w:cs="Times New Roman"/>
          <w:sz w:val="24"/>
        </w:rPr>
        <w:fldChar w:fldCharType="separate"/>
      </w:r>
      <w:r w:rsidR="005A46D7" w:rsidRPr="005A46D7">
        <w:rPr>
          <w:rFonts w:ascii="Times New Roman" w:hAnsi="Times New Roman" w:cs="Times New Roman"/>
          <w:noProof/>
          <w:sz w:val="24"/>
        </w:rPr>
        <w:t>(G. Huang et al., 2017)</w:t>
      </w:r>
      <w:r w:rsidR="00E31763">
        <w:rPr>
          <w:rFonts w:ascii="Times New Roman" w:hAnsi="Times New Roman" w:cs="Times New Roman"/>
          <w:sz w:val="24"/>
        </w:rPr>
        <w:fldChar w:fldCharType="end"/>
      </w:r>
      <w:r w:rsidRPr="003C3F45">
        <w:rPr>
          <w:rFonts w:ascii="Times New Roman" w:hAnsi="Times New Roman" w:cs="Times New Roman"/>
          <w:sz w:val="24"/>
        </w:rPr>
        <w:t xml:space="preserve"> The model was trained </w:t>
      </w:r>
      <w:r w:rsidR="008B53D0">
        <w:rPr>
          <w:rFonts w:ascii="Times New Roman" w:hAnsi="Times New Roman" w:cs="Times New Roman"/>
          <w:sz w:val="24"/>
        </w:rPr>
        <w:t>using</w:t>
      </w:r>
      <w:r w:rsidRPr="003C3F45">
        <w:rPr>
          <w:rFonts w:ascii="Times New Roman" w:hAnsi="Times New Roman" w:cs="Times New Roman"/>
          <w:sz w:val="24"/>
        </w:rPr>
        <w:t xml:space="preserve"> 1000 chest X-rays</w:t>
      </w:r>
      <w:r w:rsidR="008B53D0">
        <w:rPr>
          <w:rFonts w:ascii="Times New Roman" w:hAnsi="Times New Roman" w:cs="Times New Roman"/>
          <w:sz w:val="24"/>
        </w:rPr>
        <w:t xml:space="preserve"> images consisting of</w:t>
      </w:r>
      <w:r w:rsidRPr="003C3F45">
        <w:rPr>
          <w:rFonts w:ascii="Times New Roman" w:hAnsi="Times New Roman" w:cs="Times New Roman"/>
          <w:sz w:val="24"/>
        </w:rPr>
        <w:t xml:space="preserve"> 500 edema</w:t>
      </w:r>
      <w:r w:rsidR="008B53D0">
        <w:rPr>
          <w:rFonts w:ascii="Times New Roman" w:hAnsi="Times New Roman" w:cs="Times New Roman"/>
          <w:sz w:val="24"/>
        </w:rPr>
        <w:t xml:space="preserve"> cases and 500 normal cases</w:t>
      </w:r>
      <w:r w:rsidRPr="003C3F45">
        <w:rPr>
          <w:rFonts w:ascii="Times New Roman" w:hAnsi="Times New Roman" w:cs="Times New Roman"/>
          <w:sz w:val="24"/>
        </w:rPr>
        <w:t xml:space="preserve"> with</w:t>
      </w:r>
      <w:r w:rsidR="008B53D0">
        <w:rPr>
          <w:rFonts w:ascii="Times New Roman" w:hAnsi="Times New Roman" w:cs="Times New Roman"/>
          <w:sz w:val="24"/>
        </w:rPr>
        <w:t xml:space="preserve"> an</w:t>
      </w:r>
      <w:r w:rsidRPr="003C3F45">
        <w:rPr>
          <w:rFonts w:ascii="Times New Roman" w:hAnsi="Times New Roman" w:cs="Times New Roman"/>
          <w:sz w:val="24"/>
        </w:rPr>
        <w:t xml:space="preserve"> 80/20 train-test split</w:t>
      </w:r>
      <w:r w:rsidR="008B53D0">
        <w:rPr>
          <w:rFonts w:ascii="Times New Roman" w:hAnsi="Times New Roman" w:cs="Times New Roman"/>
          <w:sz w:val="24"/>
        </w:rPr>
        <w:t xml:space="preserve"> ratio</w:t>
      </w:r>
      <w:r w:rsidRPr="003C3F45">
        <w:rPr>
          <w:rFonts w:ascii="Times New Roman" w:hAnsi="Times New Roman" w:cs="Times New Roman"/>
          <w:sz w:val="24"/>
        </w:rPr>
        <w:t>. Data augmentation</w:t>
      </w:r>
      <w:r w:rsidR="008B53D0">
        <w:rPr>
          <w:rFonts w:ascii="Times New Roman" w:hAnsi="Times New Roman" w:cs="Times New Roman"/>
          <w:sz w:val="24"/>
        </w:rPr>
        <w:t xml:space="preserve"> techniques used were</w:t>
      </w:r>
      <w:r w:rsidRPr="003C3F45">
        <w:rPr>
          <w:rFonts w:ascii="Times New Roman" w:hAnsi="Times New Roman" w:cs="Times New Roman"/>
          <w:sz w:val="24"/>
        </w:rPr>
        <w:t xml:space="preserve"> rotation, shifting, zooming, and flipping. Grad-CAM </w:t>
      </w:r>
      <w:r w:rsidR="008B53D0">
        <w:rPr>
          <w:rFonts w:ascii="Times New Roman" w:hAnsi="Times New Roman" w:cs="Times New Roman"/>
          <w:sz w:val="24"/>
        </w:rPr>
        <w:t>created</w:t>
      </w:r>
      <w:r w:rsidRPr="003C3F45">
        <w:rPr>
          <w:rFonts w:ascii="Times New Roman" w:hAnsi="Times New Roman" w:cs="Times New Roman"/>
          <w:sz w:val="24"/>
        </w:rPr>
        <w:t xml:space="preserve"> attention maps to visualize model decision-making</w:t>
      </w:r>
      <w:r w:rsidR="004B56BD">
        <w:rPr>
          <w:rFonts w:ascii="Times New Roman" w:hAnsi="Times New Roman" w:cs="Times New Roman"/>
          <w:sz w:val="24"/>
        </w:rPr>
        <w:t xml:space="preserve"> </w:t>
      </w:r>
      <w:r w:rsidR="00900907">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{"citationItems":[{"id":"ITEM-1","itemData":{"abstract":"We propose a technique for producing 'visual explana-tions' for decisions from a large class of Convolutional Neu-ral Network (CNN)-based models, making them more transparent. Our approach-Gradient-weighted Class Activation Mapping (Grad-CAM), uses the gradients of any target concept (say logits for 'dog' or even a caption),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 VGG), (2) CNNs used for structured outputs (e.g. captioning), (3) CNNs used in tasks with multi-modal inputs (e.g. visual question answering) or reinforcement learning,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 our visualizations (a) lend insights into failure modes of these models (showing that seemingly unreasonable predictions have reasonable explanations), (b) outperform previous methods on the ILSVRC-15 weakly-supervised local-ization task, (c) are more faithful to the underlying model, and (d) help achieve model generalization by identifying dataset bias. For image captioning and VQA, our visual-izations show even non-attention based models can localize inputs.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 //github.com/ramprs/grad-cam/ along with a demo on CloudCV [2] 1 and video at youtu.be/COjUB9Izk6E. * Work done at Virginia Tech. 1","author":[{"dropping-particle":"","family":"Selvaraju","given":"Ramprasaath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id":"ITEM-1","issued":{"date-parts":[["2017"]]},"page":"618-626","title":"Grad-CAM: Visual Explanations From Deep Networks via Gradient-Based Localization","type":"article"},"uris":["http://www.mendeley.com/documents/?uuid=e88dee39-6396-34b2-8c2c-fec9efbd16b9"]}],"mendeley":{"formattedCitation":"(Selvaraju et al., 2017)","plainTextFormattedCitation":"(Selvaraju et al., 2017)","previouslyFormattedCitation":"(Selvaraju et al., 2017)"},"properties":{"noteIndex":0},"schema":"https://github.com/citation-style-language/schema/raw/master/csl-citation.json"}</w:instrText>
      </w:r>
      <w:r w:rsidR="00900907">
        <w:rPr>
          <w:rFonts w:ascii="Times New Roman" w:hAnsi="Times New Roman" w:cs="Times New Roman"/>
          <w:sz w:val="24"/>
        </w:rPr>
        <w:fldChar w:fldCharType="separate"/>
      </w:r>
      <w:r w:rsidR="005A46D7" w:rsidRPr="005A46D7">
        <w:rPr>
          <w:rFonts w:ascii="Times New Roman" w:hAnsi="Times New Roman" w:cs="Times New Roman"/>
          <w:noProof/>
          <w:sz w:val="24"/>
        </w:rPr>
        <w:t>(Selvaraju et al., 2017)</w:t>
      </w:r>
      <w:r w:rsidR="00900907">
        <w:rPr>
          <w:rFonts w:ascii="Times New Roman" w:hAnsi="Times New Roman" w:cs="Times New Roman"/>
          <w:sz w:val="24"/>
        </w:rPr>
        <w:fldChar w:fldCharType="end"/>
      </w:r>
      <w:r w:rsidRPr="003C3F45">
        <w:rPr>
          <w:rFonts w:ascii="Times New Roman" w:hAnsi="Times New Roman" w:cs="Times New Roman"/>
          <w:sz w:val="24"/>
        </w:rPr>
        <w:t>.</w:t>
      </w:r>
    </w:p>
    <w:p w:rsidR="00106EA0" w:rsidRPr="00106EA0" w:rsidRDefault="00106EA0" w:rsidP="008E4717">
      <w:pPr>
        <w:pStyle w:val="HTMLPreformatted"/>
        <w:spacing w:line="360" w:lineRule="auto"/>
        <w:jc w:val="both"/>
        <w:rPr>
          <w:rFonts w:ascii="Times New Roman" w:hAnsi="Times New Roman" w:cs="Times New Roman"/>
          <w:sz w:val="24"/>
        </w:rPr>
      </w:pPr>
      <w:r w:rsidRPr="00B855D0">
        <w:rPr>
          <w:rStyle w:val="token"/>
          <w:rFonts w:ascii="Times New Roman" w:eastAsiaTheme="majorEastAsia" w:hAnsi="Times New Roman" w:cs="Times New Roman"/>
          <w:b/>
          <w:sz w:val="24"/>
        </w:rPr>
        <w:t xml:space="preserve">Results: </w:t>
      </w:r>
      <w:r w:rsidRPr="00106EA0">
        <w:rPr>
          <w:rFonts w:ascii="Times New Roman" w:hAnsi="Times New Roman" w:cs="Times New Roman"/>
          <w:sz w:val="24"/>
        </w:rPr>
        <w:t xml:space="preserve">The model achieved excellent performance with an </w:t>
      </w:r>
      <w:r w:rsidR="004B56BD" w:rsidRPr="004B56BD">
        <w:rPr>
          <w:rFonts w:ascii="Times New Roman" w:hAnsi="Times New Roman" w:cs="Times New Roman"/>
          <w:sz w:val="24"/>
        </w:rPr>
        <w:t>Area Under the Receiver Operating Characteristic Curve</w:t>
      </w:r>
      <w:r w:rsidR="008E4717">
        <w:rPr>
          <w:rFonts w:ascii="Times New Roman" w:hAnsi="Times New Roman" w:cs="Times New Roman"/>
          <w:sz w:val="24"/>
        </w:rPr>
        <w:t xml:space="preserve"> </w:t>
      </w:r>
      <w:r w:rsidR="004B56BD">
        <w:rPr>
          <w:rFonts w:ascii="Times New Roman" w:hAnsi="Times New Roman" w:cs="Times New Roman"/>
          <w:sz w:val="24"/>
        </w:rPr>
        <w:t>(</w:t>
      </w:r>
      <w:r w:rsidRPr="00106EA0">
        <w:rPr>
          <w:rFonts w:ascii="Times New Roman" w:hAnsi="Times New Roman" w:cs="Times New Roman"/>
          <w:sz w:val="24"/>
        </w:rPr>
        <w:t>AUC-ROC</w:t>
      </w:r>
      <w:r w:rsidR="004B56BD">
        <w:rPr>
          <w:rFonts w:ascii="Times New Roman" w:hAnsi="Times New Roman" w:cs="Times New Roman"/>
          <w:sz w:val="24"/>
        </w:rPr>
        <w:t>)</w:t>
      </w:r>
      <w:r w:rsidRPr="00106EA0">
        <w:rPr>
          <w:rFonts w:ascii="Times New Roman" w:hAnsi="Times New Roman" w:cs="Times New Roman"/>
          <w:sz w:val="24"/>
        </w:rPr>
        <w:t xml:space="preserve"> of 0.917 (95% CI: 0.89-0.94), </w:t>
      </w:r>
      <w:r w:rsidR="004B56BD">
        <w:rPr>
          <w:rFonts w:ascii="Times New Roman" w:hAnsi="Times New Roman" w:cs="Times New Roman"/>
          <w:sz w:val="24"/>
        </w:rPr>
        <w:t xml:space="preserve">overall </w:t>
      </w:r>
      <w:r w:rsidRPr="00106EA0">
        <w:rPr>
          <w:rFonts w:ascii="Times New Roman" w:hAnsi="Times New Roman" w:cs="Times New Roman"/>
          <w:sz w:val="24"/>
        </w:rPr>
        <w:t>accuracy of 85%, sensitivity of 82%, and specificity of 88%.</w:t>
      </w:r>
      <w:r w:rsidR="007E67C7">
        <w:rPr>
          <w:rFonts w:ascii="Times New Roman" w:hAnsi="Times New Roman" w:cs="Times New Roman"/>
          <w:sz w:val="24"/>
        </w:rPr>
        <w:t>The t</w:t>
      </w:r>
      <w:r w:rsidRPr="00106EA0">
        <w:rPr>
          <w:rFonts w:ascii="Times New Roman" w:hAnsi="Times New Roman" w:cs="Times New Roman"/>
          <w:sz w:val="24"/>
        </w:rPr>
        <w:t xml:space="preserve">raining curves </w:t>
      </w:r>
      <w:r w:rsidR="007E67C7">
        <w:rPr>
          <w:rFonts w:ascii="Times New Roman" w:hAnsi="Times New Roman" w:cs="Times New Roman"/>
          <w:sz w:val="24"/>
        </w:rPr>
        <w:t>were found to be stable</w:t>
      </w:r>
      <w:r w:rsidRPr="00106EA0">
        <w:rPr>
          <w:rFonts w:ascii="Times New Roman" w:hAnsi="Times New Roman" w:cs="Times New Roman"/>
          <w:sz w:val="24"/>
        </w:rPr>
        <w:t xml:space="preserve"> without overfitting.</w:t>
      </w:r>
      <w:r w:rsidR="007E67C7">
        <w:rPr>
          <w:rFonts w:ascii="Times New Roman" w:hAnsi="Times New Roman" w:cs="Times New Roman"/>
          <w:sz w:val="24"/>
        </w:rPr>
        <w:t>The attention maps generated by</w:t>
      </w:r>
      <w:r w:rsidRPr="00106EA0">
        <w:rPr>
          <w:rFonts w:ascii="Times New Roman" w:hAnsi="Times New Roman" w:cs="Times New Roman"/>
          <w:sz w:val="24"/>
        </w:rPr>
        <w:t xml:space="preserve"> Grad-CAM</w:t>
      </w:r>
      <w:r w:rsidR="007E67C7">
        <w:rPr>
          <w:rFonts w:ascii="Times New Roman" w:hAnsi="Times New Roman" w:cs="Times New Roman"/>
          <w:sz w:val="24"/>
        </w:rPr>
        <w:t xml:space="preserve"> suggested that the model’s attention was directed towards perihilar and interstitial areas of the lungs in edema, as expected from radiology findings of pulmonary edema</w:t>
      </w:r>
      <w:r w:rsidRPr="00106EA0">
        <w:rPr>
          <w:rFonts w:ascii="Times New Roman" w:hAnsi="Times New Roman" w:cs="Times New Roman"/>
          <w:sz w:val="24"/>
        </w:rPr>
        <w:t xml:space="preserv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-1","issue":"5","issued":{"date-parts":[["2012","11","23"]]},"page":"879-894","publisher":"American Roentgen Ray Society","title":"The radiologic distinction of cardiogenic and noncardiogenic edema","type":"article-journal","volume":"144"},"uris":["http://www.mendeley.com/documents/?uuid=e2ea7f9f-d5dd-338f-8cb4-83f38dd7cc54"]}],"mendeley":{"formattedCitation":"(Milne et al., 2012)","plainTextFormattedCitation":"(Milne et al., 2012)","previouslyFormattedCitation":"(Milne et al., 2012)"},"properties":{"noteIndex":0},"schema":"https://github.com/citation-style-language/schema/raw/master/csl-citation.json"}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(Milne et al., 2012)</w:t>
      </w:r>
      <w:r w:rsidR="00DA0216">
        <w:rPr>
          <w:rFonts w:ascii="Times New Roman" w:hAnsi="Times New Roman" w:cs="Times New Roman"/>
          <w:sz w:val="24"/>
        </w:rPr>
        <w:fldChar w:fldCharType="end"/>
      </w:r>
      <w:r w:rsidRPr="00106EA0">
        <w:rPr>
          <w:rFonts w:ascii="Times New Roman" w:hAnsi="Times New Roman" w:cs="Times New Roman"/>
          <w:sz w:val="24"/>
        </w:rPr>
        <w:t>.</w:t>
      </w:r>
    </w:p>
    <w:p w:rsidR="00106EA0" w:rsidRDefault="00106EA0" w:rsidP="008E4717">
      <w:pPr>
        <w:pStyle w:val="HTMLPreformatted"/>
        <w:spacing w:line="360" w:lineRule="auto"/>
        <w:jc w:val="both"/>
        <w:rPr>
          <w:rFonts w:ascii="Times New Roman" w:hAnsi="Times New Roman" w:cs="Times New Roman"/>
          <w:sz w:val="24"/>
        </w:rPr>
      </w:pPr>
      <w:r w:rsidRPr="00106EA0">
        <w:rPr>
          <w:rStyle w:val="token"/>
          <w:rFonts w:ascii="Times New Roman" w:eastAsiaTheme="majorEastAsia" w:hAnsi="Times New Roman" w:cs="Times New Roman"/>
          <w:b/>
          <w:sz w:val="24"/>
        </w:rPr>
        <w:t>Conclusion:</w:t>
      </w:r>
      <w:r>
        <w:rPr>
          <w:rStyle w:val="token"/>
          <w:rFonts w:ascii="Times New Roman" w:eastAsiaTheme="majorEastAsia" w:hAnsi="Times New Roman" w:cs="Times New Roman"/>
          <w:b/>
          <w:sz w:val="24"/>
        </w:rPr>
        <w:t xml:space="preserve"> </w:t>
      </w:r>
      <w:r w:rsidRPr="00106EA0">
        <w:rPr>
          <w:rFonts w:ascii="Times New Roman" w:hAnsi="Times New Roman" w:cs="Times New Roman"/>
          <w:sz w:val="24"/>
        </w:rPr>
        <w:t xml:space="preserve">Our explainable AI model demonstrates high accuracy </w:t>
      </w:r>
      <w:r w:rsidR="00C91D7A">
        <w:rPr>
          <w:rFonts w:ascii="Times New Roman" w:hAnsi="Times New Roman" w:cs="Times New Roman"/>
          <w:sz w:val="24"/>
        </w:rPr>
        <w:t>when detecting</w:t>
      </w:r>
      <w:r w:rsidRPr="00106EA0">
        <w:rPr>
          <w:rFonts w:ascii="Times New Roman" w:hAnsi="Times New Roman" w:cs="Times New Roman"/>
          <w:sz w:val="24"/>
        </w:rPr>
        <w:t xml:space="preserve"> pulmonary edema</w:t>
      </w:r>
      <w:r w:rsidR="00C91D7A">
        <w:rPr>
          <w:rFonts w:ascii="Times New Roman" w:hAnsi="Times New Roman" w:cs="Times New Roman"/>
          <w:sz w:val="24"/>
        </w:rPr>
        <w:t xml:space="preserve">, offering a </w:t>
      </w:r>
      <w:r w:rsidRPr="00106EA0">
        <w:rPr>
          <w:rFonts w:ascii="Times New Roman" w:hAnsi="Times New Roman" w:cs="Times New Roman"/>
          <w:sz w:val="24"/>
        </w:rPr>
        <w:t xml:space="preserve">clinically </w:t>
      </w:r>
      <w:r w:rsidR="00C91D7A">
        <w:rPr>
          <w:rFonts w:ascii="Times New Roman" w:hAnsi="Times New Roman" w:cs="Times New Roman"/>
          <w:sz w:val="24"/>
        </w:rPr>
        <w:t>understandable visualization</w:t>
      </w:r>
      <w:r w:rsidRPr="00106EA0">
        <w:rPr>
          <w:rFonts w:ascii="Times New Roman" w:hAnsi="Times New Roman" w:cs="Times New Roman"/>
          <w:sz w:val="24"/>
        </w:rPr>
        <w:t xml:space="preserve">. This </w:t>
      </w:r>
      <w:r w:rsidR="00C91D7A">
        <w:rPr>
          <w:rFonts w:ascii="Times New Roman" w:hAnsi="Times New Roman" w:cs="Times New Roman"/>
          <w:sz w:val="24"/>
        </w:rPr>
        <w:t xml:space="preserve">method could potentially increase radiologists’ confidence and promote the use of AI in clinical practice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Analysis","id":"ITEM-1","issued":{"date-parts":[["2022","7","1"]]},"page":"102470","publisher":"Elsevier","title":"Explainable artificial intelligence (XAI) in deep learning-based medical image analysis","type":"article-journal","volume":"79"},"uris":["http://www.mendeley.com/documents/?uuid=4a68a878-e2b1-3a0b-9d5d-08bc60968fb5"]}],"mendeley":{"formattedCitation":"(van der Velden et al., 2022)","plainTextFormattedCitation":"(van der Velden et al., 2022)","previouslyFormattedCitation":"(van der Velden et al., 2022)"},"properties":{"noteIndex":0},"schema":"https://github.com/citation-style-language/schema/raw/master/csl-citation.json"}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(van der Velden et al., 2022)</w:t>
      </w:r>
      <w:r w:rsidR="00DA0216">
        <w:rPr>
          <w:rFonts w:ascii="Times New Roman" w:hAnsi="Times New Roman" w:cs="Times New Roman"/>
          <w:sz w:val="24"/>
        </w:rPr>
        <w:fldChar w:fldCharType="end"/>
      </w:r>
      <w:r w:rsidRPr="00106EA0">
        <w:rPr>
          <w:rFonts w:ascii="Times New Roman" w:hAnsi="Times New Roman" w:cs="Times New Roman"/>
          <w:sz w:val="24"/>
        </w:rPr>
        <w:t>.</w:t>
      </w:r>
    </w:p>
    <w:p w:rsidR="00106EA0" w:rsidRDefault="00106EA0" w:rsidP="00BF1173">
      <w:pPr>
        <w:pStyle w:val="HTMLPreformatted"/>
        <w:spacing w:line="360" w:lineRule="auto"/>
        <w:rPr>
          <w:rFonts w:ascii="Times New Roman" w:hAnsi="Times New Roman" w:cs="Times New Roman"/>
          <w:sz w:val="24"/>
        </w:rPr>
      </w:pPr>
      <w:r w:rsidRPr="00106EA0">
        <w:rPr>
          <w:rStyle w:val="token"/>
          <w:rFonts w:ascii="Times New Roman" w:eastAsiaTheme="majorEastAsia" w:hAnsi="Times New Roman" w:cs="Times New Roman"/>
          <w:b/>
          <w:sz w:val="24"/>
        </w:rPr>
        <w:t>Keywords:</w:t>
      </w:r>
      <w:r>
        <w:rPr>
          <w:rStyle w:val="token"/>
          <w:rFonts w:ascii="Times New Roman" w:eastAsiaTheme="majorEastAsia" w:hAnsi="Times New Roman" w:cs="Times New Roman"/>
          <w:b/>
          <w:sz w:val="24"/>
        </w:rPr>
        <w:t xml:space="preserve"> </w:t>
      </w:r>
      <w:r w:rsidRPr="00106EA0">
        <w:rPr>
          <w:rFonts w:ascii="Times New Roman" w:hAnsi="Times New Roman" w:cs="Times New Roman"/>
          <w:sz w:val="24"/>
        </w:rPr>
        <w:t>Pulmonary edema; Chest X-ray; Deep learning; DenseNet121; Grad-CAM; Explainable AI</w:t>
      </w:r>
    </w:p>
    <w:p w:rsidR="00550888" w:rsidRDefault="00550888" w:rsidP="00E31806">
      <w:pPr>
        <w:pStyle w:val="Heading1"/>
        <w:rPr>
          <w:rStyle w:val="Strong"/>
          <w:b/>
          <w:bCs w:val="0"/>
        </w:rPr>
        <w:sectPr w:rsidR="00550888" w:rsidSect="00550888">
          <w:type w:val="continuous"/>
          <w:pgSz w:w="11909" w:h="16834" w:code="9"/>
          <w:pgMar w:top="1440" w:right="1440" w:bottom="1440" w:left="1440" w:header="720" w:footer="720" w:gutter="0"/>
          <w:cols w:space="720"/>
          <w:docGrid w:linePitch="360"/>
        </w:sectPr>
      </w:pPr>
    </w:p>
    <w:p w:rsidR="00106EA0" w:rsidRPr="00193695" w:rsidRDefault="00C13908" w:rsidP="00E31806">
      <w:pPr>
        <w:pStyle w:val="Heading1"/>
        <w:rPr>
          <w:rStyle w:val="Strong"/>
          <w:b/>
          <w:bCs w:val="0"/>
        </w:rPr>
      </w:pPr>
      <w:r>
        <w:rPr>
          <w:rStyle w:val="Strong"/>
          <w:b/>
          <w:bCs w:val="0"/>
        </w:rPr>
        <w:lastRenderedPageBreak/>
        <w:t xml:space="preserve">1. </w:t>
      </w:r>
      <w:r w:rsidR="00106EA0" w:rsidRPr="00193695">
        <w:rPr>
          <w:rStyle w:val="Strong"/>
          <w:b/>
          <w:bCs w:val="0"/>
        </w:rPr>
        <w:t>INTRODUCTION</w:t>
      </w:r>
    </w:p>
    <w:p w:rsidR="006A1187" w:rsidRPr="006A1187" w:rsidRDefault="006A1187" w:rsidP="008E4717">
      <w:pPr>
        <w:pStyle w:val="HTMLPreformatted"/>
        <w:spacing w:line="360" w:lineRule="auto"/>
        <w:jc w:val="both"/>
        <w:rPr>
          <w:rFonts w:ascii="Times New Roman" w:hAnsi="Times New Roman" w:cs="Times New Roman"/>
          <w:sz w:val="24"/>
        </w:rPr>
      </w:pPr>
      <w:r w:rsidRPr="006A1187">
        <w:rPr>
          <w:rFonts w:ascii="Times New Roman" w:hAnsi="Times New Roman" w:cs="Times New Roman"/>
          <w:sz w:val="24"/>
        </w:rPr>
        <w:t xml:space="preserve">Pulmonary edema, the accumulation of fluid in the lung tissue and air spaces, is a common and potentially life-threatening condition that requires rapid diagnosis and intervention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{"citationItems":[{"id":"ITEM-1","itemData":{"DOI":"10.1056/NEJMCP052699","ISSN":"0028-4793","abstract":"A 62-year-old man presents with a three-day history of progressive dyspnea, nonproductive cough, and low-grade fever. His blood pressure is 100/60 mm Hg, his heart rate 110 beats per minute, his te...","author":[{"dropping-particle":"","family":"Ware","given":"Lorraine B.","non-dropping-particle":"","parse-names":false,"suffix":""},{"dropping-particle":"","family":"Matthay","given":"Michael A.","non-dropping-particle":"","parse-names":false,"suffix":""}],"container-title":"New England Journal of Medicine","id":"ITEM-1","issue":"26","issued":{"date-parts":[["2005","12","29"]]},"page":"2788-2796","publisher":"Massachusetts Medical Society","title":"Acute Pulmonary Edema","type":"article-journal","volume":"353"},"uris":["http://www.mendeley.com/documents/?uuid=a154ccaa-a6c0-3245-a36d-2040279e5fc3"]}],"mendeley":{"formattedCitation":"(Ware &amp; Matthay, 2005)","plainTextFormattedCitation":"(Ware &amp; Matthay, 2005)","previouslyFormattedCitation":"(Ware &amp; Matthay, 2005)"},"properties":{"noteIndex":0},"schema":"https://github.com/citation-style-language/schema/raw/master/csl-citation.json"}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(Ware &amp; Matthay, 2005)</w:t>
      </w:r>
      <w:r w:rsidR="00DA0216">
        <w:rPr>
          <w:rFonts w:ascii="Times New Roman" w:hAnsi="Times New Roman" w:cs="Times New Roman"/>
          <w:sz w:val="24"/>
        </w:rPr>
        <w:fldChar w:fldCharType="end"/>
      </w:r>
      <w:r w:rsidRPr="006A1187">
        <w:rPr>
          <w:rFonts w:ascii="Times New Roman" w:hAnsi="Times New Roman" w:cs="Times New Roman"/>
          <w:sz w:val="24"/>
        </w:rPr>
        <w:t xml:space="preserve">. Chest radiography remains the primary imaging </w:t>
      </w:r>
      <w:r w:rsidR="008E4717">
        <w:rPr>
          <w:rFonts w:ascii="Times New Roman" w:hAnsi="Times New Roman" w:cs="Times New Roman"/>
          <w:sz w:val="24"/>
        </w:rPr>
        <w:t xml:space="preserve">modality for initial </w:t>
      </w:r>
      <w:r w:rsidRPr="006A1187">
        <w:rPr>
          <w:rFonts w:ascii="Times New Roman" w:hAnsi="Times New Roman" w:cs="Times New Roman"/>
          <w:sz w:val="24"/>
        </w:rPr>
        <w:t xml:space="preserve">assessment due to its wide availability, low cost, and rapid acquisition time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{"citationItems":[{"id":"ITEM-1","itemData":{"DOI":"10.1148/RADIOL.2462070712/ASSET/IMAGES/R08FE34G71X.JPEG","ISSN":"00338419","PMID":"18195376","abstract":"Members of the Fleischner Society compiled a glossary of terms for thoracic imaging that replaces previous glossaries published in 1984 and 1996 for thoracic radiography and computed tomography (CT), respectively. The need to update the previous versions came from the recognition that new words have emerged, others have become obsolete, and the meaning of some terms has changed. Brief descriptions of some diseases are included, and pictorial examples (chest radiographs and CT scans) are provided for the majority of terms. © RSNA, 2008.","author":[{"dropping-particle":"","family":"Hansell","given":"David M.","non-dropping-particle":"","parse-names":false,"suffix":""},{"dropping-particle":"","family":"Bankier","given":"Alexander A.","non-dropping-particle":"","parse-names":false,"suffix":""},{"dropping-particle":"","family":"MacMahon","given":"Heber","non-dropping-particle":"","parse-names":false,"suffix":""},{"dropping-particle":"","family":"McLoud","given":"Theresa C.","non-dropping-particle":"","parse-names":false,"suffix":""},{"dropping-particle":"","family":"Müller","given":"Nestor L.","non-dropping-particle":"","parse-names":false,"suffix":""},{"dropping-particle":"","family":"Remy","given":"Jacques","non-dropping-particle":"","parse-names":false,"suffix":""}],"container-title":"Radiology","id":"ITEM-1","issue":"3","issued":{"date-parts":[["2008","3","1"]]},"page":"697-722","publisher":"Radiological Society of North America","title":"Fleischner Society: Glossary of terms for thoracic imaging","type":"article-journal","volume":"246"},"uris":["http://www.mendeley.com/documents/?uuid=bfd57ac8-87a5-3521-a8f1-a224ec75ece9"]}],"mendeley":{"formattedCitation":"(Hansell et al., 2008)","plainTextFormattedCitation":"(Hansell et al., 2008)","previouslyFormattedCitation":"(Hansell et al., 2008)"},"properties":{"noteIndex":0},"schema":"https://github.com/citation-style-language/schema/raw/master/csl-citation.json"}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(Hansell et al., 2008)</w:t>
      </w:r>
      <w:r w:rsidR="00DA0216">
        <w:rPr>
          <w:rFonts w:ascii="Times New Roman" w:hAnsi="Times New Roman" w:cs="Times New Roman"/>
          <w:sz w:val="24"/>
        </w:rPr>
        <w:fldChar w:fldCharType="end"/>
      </w:r>
      <w:r w:rsidRPr="006A1187">
        <w:rPr>
          <w:rFonts w:ascii="Times New Roman" w:hAnsi="Times New Roman" w:cs="Times New Roman"/>
          <w:sz w:val="24"/>
        </w:rPr>
        <w:t>. However, interpretation of chest X-rays for pulmonary edema can be challenging, particularly in early stages or when other cardiopu</w:t>
      </w:r>
      <w:r>
        <w:rPr>
          <w:rFonts w:ascii="Times New Roman" w:hAnsi="Times New Roman" w:cs="Times New Roman"/>
          <w:sz w:val="24"/>
        </w:rPr>
        <w:t xml:space="preserve">lmonary conditions coexist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-1","issue":"5","issued":{"date-parts":[["2012","11","23"]]},"page":"879-894","publisher":"American Roentgen Ray Society","title":"The radiologic distinction of cardiogenic and noncardiogenic edema","type":"article-journal","volume":"144"},"uris":["http://www.mendeley.com/documents/?uuid=e2ea7f9f-d5dd-338f-8cb4-83f38dd7cc54"]}],"mendeley":{"formattedCitation":"(Milne et al., 2012)","plainTextFormattedCitation":"(Milne et al., 2012)","previouslyFormattedCitation":"(Milne et al., 2012)"},"properties":{"noteIndex":0},"schema":"https://github.com/citation-style-language/schema/raw/master/csl-citation.json"}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(Milne et al., 2012)</w:t>
      </w:r>
      <w:r w:rsidR="00DA0216">
        <w:rPr>
          <w:rFonts w:ascii="Times New Roman" w:hAnsi="Times New Roman" w:cs="Times New Roman"/>
          <w:sz w:val="24"/>
        </w:rPr>
        <w:fldChar w:fldCharType="end"/>
      </w:r>
      <w:r>
        <w:rPr>
          <w:rFonts w:ascii="Times New Roman" w:hAnsi="Times New Roman" w:cs="Times New Roman"/>
          <w:sz w:val="24"/>
        </w:rPr>
        <w:t>.</w:t>
      </w:r>
      <w:r w:rsidR="008E4717">
        <w:rPr>
          <w:rFonts w:ascii="Times New Roman" w:hAnsi="Times New Roman" w:cs="Times New Roman"/>
          <w:sz w:val="24"/>
        </w:rPr>
        <w:t xml:space="preserve"> </w:t>
      </w:r>
      <w:r w:rsidRPr="006A1187">
        <w:rPr>
          <w:rFonts w:ascii="Times New Roman" w:hAnsi="Times New Roman" w:cs="Times New Roman"/>
          <w:sz w:val="24"/>
        </w:rPr>
        <w:t xml:space="preserve">Recent advances in deep learning have shown promise for medical image analysis, including chest X-ray interpretation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Analysis","id":"ITEM-1","issued":{"date-parts":[["2017","12","1"]]},"page":"60-88","publisher":"Elsevier","title":"A survey on deep learning in medical image analysis","type":"article-journal","volume":"42"},"uris":["http://www.mendeley.com/documents/?uuid=d64fea6a-65ba-3f60-b8bc-f90580523c3b"]},{"id":"ITEM-2","itemData":{"DOI":"10.1038/s41591-018-0316-z","ISSN":"1546-170X","PMID":"30617335","abstract":"Here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25:1","id":"ITEM-2","issue":"1","issued":{"date-parts":[["2019","1","7"]]},"page":"24-29","publisher":"Nature Publishing Group","title":"A guide to deep learning in healthcare","type":"article-journal","volume":"25"},"uris":["http://www.mendeley.com/documents/?uuid=c79cfa70-1e60-3f2a-a05e-10cce4e19c5f"]}],"mendeley":{"formattedCitation":"(Esteva et al., 2019; Litjens et al., 2017)","plainTextFormattedCitation":"(Esteva et al., 2019; Litjens et al., 2017)","previouslyFormattedCitation":"(Esteva et al., 2019; Litjens et al., 2017)"},"properties":{"noteIndex":0},"schema":"https://github.com/citation-style-language/schema/raw/master/csl-citation.json"}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(Esteva et al., 2019; Litjens et al., 2017)</w:t>
      </w:r>
      <w:r w:rsidR="00DA0216">
        <w:rPr>
          <w:rFonts w:ascii="Times New Roman" w:hAnsi="Times New Roman" w:cs="Times New Roman"/>
          <w:sz w:val="24"/>
        </w:rPr>
        <w:fldChar w:fldCharType="end"/>
      </w:r>
      <w:r w:rsidRPr="006A1187">
        <w:rPr>
          <w:rFonts w:ascii="Times New Roman" w:hAnsi="Times New Roman" w:cs="Times New Roman"/>
          <w:sz w:val="24"/>
        </w:rPr>
        <w:t xml:space="preserve">. Convolutional neural networks (CNNs) have demonstrated performance comparable to radiologists </w:t>
      </w:r>
      <w:r w:rsidR="008E4717">
        <w:rPr>
          <w:rFonts w:ascii="Times New Roman" w:hAnsi="Times New Roman" w:cs="Times New Roman"/>
          <w:sz w:val="24"/>
        </w:rPr>
        <w:t xml:space="preserve">for </w:t>
      </w:r>
      <w:r w:rsidRPr="006A1187">
        <w:rPr>
          <w:rFonts w:ascii="Times New Roman" w:hAnsi="Times New Roman" w:cs="Times New Roman"/>
          <w:sz w:val="24"/>
        </w:rPr>
        <w:t xml:space="preserve">various thoracic abnormalities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{"citationItems":[{"id":"ITEM-1","itemData":{"DOI":"10.1371/JOURNAL.PMED.1002686","ISBN":"1111111111","ISSN":"1549-1676","PMID":"30457988","abstract":"Background Chest radiograph interpretation is critical for the detection of thoracic diseases, including tuberculosis and lung cancer, which affect millions of people worldwide each year. This time-consuming task typically requires expert radiologists to read the images, leading to fatigue-based diagnostic error and lack of diagnostic expertise in areas of the world where radiologists are not available. Recently, deep learning approaches have been able to achieve expert-level performance in medical image interpretation tasks, powered by large network architectures and fueled by the emergence of large labeled datasets. The purpose of this study is to investigate the performance of a deep learning algorithm on the detection of pathologies in chest radiographs compared with practicing radiologists.   Methods and findings We developed CheXNeXt, a convolutional neural network to concurrently detect the presence of 14 different pathologies, including pneumonia, pleural effusion, pulmonary masses, and nodules in frontal-view chest radiographs. CheXNeXt was trained and internally validated on the ChestX-ray8 dataset, with a held-out validation set consisting of 420 images, sampled to contain at least 50 cases of each of the original pathology labels. On this validation set, the majority vote of a panel of 3 board-certified cardiothoracic specialist radiologists served as reference standard. We compared CheXNeXt’s discriminative performance on the validation set to the performance of 9 radiologists using the area under the receiver operating characteristic curve (AUC). The radiologists included 6 board-certified radiologists (average experience 12 years, range 4–28 years) and 3 senior radiology residents, from 3 academic institutions. We found that CheXNeXt achieved radiologist-level performance on 11 pathologies and did not achieve radiologist-level performance on 3 pathologies. The radiologists achieved statistically significantly higher AUC performance on cardiomegaly, emphysema, and hiatal hernia, with AUCs of 0.888 (95% confidence interval [CI] 0.863–0.910), 0.911 (95% CI 0.866–0.947), and 0.985 (95% CI 0.974–0.991), respectively, whereas CheXNeXt’s AUCs were 0.831 (95% CI 0.790–0.870), 0.704 (95% CI 0.567–0.833), and 0.851 (95% CI 0.785–0.909), respectively. CheXNeXt performed better than radiologists in detecting atelectasis, with an AUC of 0.862 (95% CI 0.825–0.895), statistically significantly higher than radiologists' AUC of 0.808 (95% CI 0.777–0.838);…","author":[{"dropping-particle":"","family":"Rajpurkar","given":"Pranav","non-dropping-particle":"","parse-names":false,"suffix":""},{"dropping-particle":"","family":"Irvin","given":"Jeremy","non-dropping-particle":"","parse-names":false,"suffix":""},{"dropping-particle":"","family":"Ball","given":"Robyn L.","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Langlotz","given":"Curtis P.","non-dropping-particle":"","parse-names":false,"suffix":""},{"dropping-particle":"","family":"Patel","given":"Bhavik N.","non-dropping-particle":"","parse-names":false,"suffix":""},{"dropping-particle":"","family":"Yeom","given":"Kristen W.","non-dropping-particle":"","parse-names":false,"suffix":""},{"dropping-particle":"","family":"Shpanskaya","given":"Katie","non-dropping-particle":"","parse-names":false,"suffix":""},{"dropping-particle":"","family":"Blankenberg","given":"Francis G.","non-dropping-particle":"","parse-names":false,"suffix":""},{"dropping-particle":"","family":"Seekins","given":"Jayne","non-dropping-particle":"","parse-names":false,"suffix":""},{"dropping-particle":"","family":"Amrhein","given":"Timothy J.","non-dropping-particle":"","parse-names":false,"suffix":""},{"dropping-particle":"","family":"Mong","given":"David A.","non-dropping-particle":"","parse-names":false,"suffix":""},{"dropping-particle":"","family":"Halabi","given":"Safwan S.","non-dropping-particle":"","parse-names":false,"suffix":""},{"dropping-particle":"","family":"Zucker","given":"Evan J.","non-dropping-particle":"","parse-names":false,"suffix":""},{"dropping-particle":"","family":"Ng","given":"Andrew Y.","non-dropping-particle":"","parse-names":false,"suffix":""},{"dropping-particle":"","family":"Lungren","given":"Matthew P.","non-dropping-particle":"","parse-names":false,"suffix":""}],"container-title":"PLOS Medicine","id":"ITEM-1","issue":"11","issued":{"date-parts":[["2018","11","1"]]},"page":"e1002686","publisher":"Public Library of Science","title":"Deep learning for chest radiograph diagnosis: A retrospective comparison of the CheXNeXt algorithm to practicing radiologists","type":"article-journal","volume":"15"},"uris":["http://www.mendeley.com/documents/?uuid=18dbb737-44d4-3f84-83e0-34a7af9a29f0"]}],"mendeley":{"formattedCitation":"(Rajpurkar et al., 2018)","plainTextFormattedCitation":"(Rajpurkar et al., 2018)","previouslyFormattedCitation":"(Rajpurkar et al., 2018)"},"properties":{"noteIndex":0},"schema":"https://github.com/citation-style-language/schema/raw/master/csl-citation.json"}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(Rajpurkar et al., 2018)</w:t>
      </w:r>
      <w:r w:rsidR="00DA0216">
        <w:rPr>
          <w:rFonts w:ascii="Times New Roman" w:hAnsi="Times New Roman" w:cs="Times New Roman"/>
          <w:sz w:val="24"/>
        </w:rPr>
        <w:fldChar w:fldCharType="end"/>
      </w:r>
      <w:r w:rsidRPr="006A1187">
        <w:rPr>
          <w:rFonts w:ascii="Times New Roman" w:hAnsi="Times New Roman" w:cs="Times New Roman"/>
          <w:sz w:val="24"/>
        </w:rPr>
        <w:t xml:space="preserve">. However, the "black box" nature of these models limits clinical adoption, as physicians require understanding of why a model makes specific predictions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author":[{"dropping-particle":"","family":"Samek","given":"Wojciech","non-dropping-particle":"","parse-names":false,"suffix":""},{"dropping-particle":"","family":"Wiegand","given":"Thomas","non-dropping-particle":"","parse-names":false,"suffix":""},{"dropping-particle":"","family":"Müller","given":"Klaus-Robert","non-dropping-particle":"","parse-names":false,"suffix":""}],"id":"ITEM-1","issued":{"date-parts":[["0"]]},"title":"EXPLAINABLE ARTIFICIAL INTELLIGENCE: UNDERSTANDING, VISUALIZING AND INTERPRETING DEEP LEARNING MODELS","type":"article-journal"},"uris":["http://www.mendeley.com/documents/?uuid=820ddf30-99e9-3fdb-a7ea-74c8f6931e74"]}],"mendeley":{"formattedCitation":"(Samek et al., n.d.)","manualFormatting":"(Samek et al., 2017)","plainTextFormattedCitation":"(Samek et al., n.d.)","previouslyFormattedCitation":"(Samek et al., n.d.)"},"properties":{"noteIndex":0},"schema":"https://github.com/citation-style-language/schema/raw/master/csl-citation.json"}</w:instrText>
      </w:r>
      <w:r w:rsidR="00DA0216">
        <w:rPr>
          <w:rFonts w:ascii="Times New Roman" w:hAnsi="Times New Roman" w:cs="Times New Roman"/>
          <w:sz w:val="24"/>
        </w:rPr>
        <w:fldChar w:fldCharType="separate"/>
      </w:r>
      <w:r w:rsidR="00DA0216">
        <w:rPr>
          <w:rFonts w:ascii="Times New Roman" w:hAnsi="Times New Roman" w:cs="Times New Roman"/>
          <w:noProof/>
          <w:sz w:val="24"/>
        </w:rPr>
        <w:t>(Samek et al., 2017</w:t>
      </w:r>
      <w:r w:rsidR="00DA0216" w:rsidRPr="00DA0216">
        <w:rPr>
          <w:rFonts w:ascii="Times New Roman" w:hAnsi="Times New Roman" w:cs="Times New Roman"/>
          <w:noProof/>
          <w:sz w:val="24"/>
        </w:rPr>
        <w:t>)</w:t>
      </w:r>
      <w:r w:rsidR="00DA0216">
        <w:rPr>
          <w:rFonts w:ascii="Times New Roman" w:hAnsi="Times New Roman" w:cs="Times New Roman"/>
          <w:sz w:val="24"/>
        </w:rPr>
        <w:fldChar w:fldCharType="end"/>
      </w:r>
      <w:r w:rsidRPr="006A1187">
        <w:rPr>
          <w:rFonts w:ascii="Times New Roman" w:hAnsi="Times New Roman" w:cs="Times New Roman"/>
          <w:sz w:val="24"/>
        </w:rPr>
        <w:t>.</w:t>
      </w:r>
    </w:p>
    <w:p w:rsidR="00883401" w:rsidRDefault="006A1187" w:rsidP="008E4717">
      <w:pPr>
        <w:pStyle w:val="HTMLPreformatted"/>
        <w:spacing w:line="360" w:lineRule="auto"/>
        <w:jc w:val="both"/>
        <w:rPr>
          <w:rFonts w:ascii="Times New Roman" w:hAnsi="Times New Roman" w:cs="Times New Roman"/>
          <w:sz w:val="24"/>
        </w:rPr>
      </w:pPr>
      <w:r w:rsidRPr="006A1187">
        <w:rPr>
          <w:rFonts w:ascii="Times New Roman" w:hAnsi="Times New Roman" w:cs="Times New Roman"/>
          <w:sz w:val="24"/>
        </w:rPr>
        <w:t xml:space="preserve">Explainable AI (XAI) techniques, such as Gradient-weighted Class Activation Mapping (Grad-CAM), address this limitation by generating visual attention maps that highlight image regions influencing model decisions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{"citationItems":[{"id":"ITEM-1","itemData":{"DOI":"10.1007/S11263-019-01228-7/FIGURES/21","ISSN":"15731405","abstract":"We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container-title":"International Journal of Computer Vision","id":"ITEM-1","issue":"2","issued":{"date-parts":[["2020","2","1"]]},"page":"336-359","publisher":"Springer","title":"Grad-CAM: Visual Explanations from Deep Networks via Gradient-Based Localization","type":"article-journal","volume":"128"},"uris":["http://www.mendeley.com/documents/?uuid=5af1885e-465e-3d71-9d40-5b71ed87cafb"]}],"mendeley":{"formattedCitation":"(Selvaraju et al., 2020)","plainTextFormattedCitation":"(Selvaraju et al., 2020)","previouslyFormattedCitation":"(Selvaraju et al., 2020)"},"properties":{"noteIndex":0},"schema":"https://github.com/citation-style-language/schema/raw/master/csl-citation.json"}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 xml:space="preserve">(Selvaraju et </w:t>
      </w:r>
      <w:r w:rsidR="005A46D7" w:rsidRPr="005A46D7">
        <w:rPr>
          <w:rFonts w:ascii="Times New Roman" w:hAnsi="Times New Roman" w:cs="Times New Roman"/>
          <w:noProof/>
          <w:sz w:val="24"/>
        </w:rPr>
        <w:t>al., 2020)</w:t>
      </w:r>
      <w:r w:rsidR="00DA0216">
        <w:rPr>
          <w:rFonts w:ascii="Times New Roman" w:hAnsi="Times New Roman" w:cs="Times New Roman"/>
          <w:sz w:val="24"/>
        </w:rPr>
        <w:fldChar w:fldCharType="end"/>
      </w:r>
      <w:r w:rsidRPr="006A1187">
        <w:rPr>
          <w:rFonts w:ascii="Times New Roman" w:hAnsi="Times New Roman" w:cs="Times New Roman"/>
          <w:sz w:val="24"/>
        </w:rPr>
        <w:t xml:space="preserve">. These techniques have </w:t>
      </w:r>
      <w:r w:rsidR="003B2339">
        <w:rPr>
          <w:rFonts w:ascii="Times New Roman" w:hAnsi="Times New Roman" w:cs="Times New Roman"/>
          <w:sz w:val="24"/>
        </w:rPr>
        <w:t>shown</w:t>
      </w:r>
      <w:r w:rsidRPr="006A1187">
        <w:rPr>
          <w:rFonts w:ascii="Times New Roman" w:hAnsi="Times New Roman" w:cs="Times New Roman"/>
          <w:sz w:val="24"/>
        </w:rPr>
        <w:t xml:space="preserve"> </w:t>
      </w:r>
      <w:r w:rsidR="003B2339">
        <w:rPr>
          <w:rFonts w:ascii="Times New Roman" w:hAnsi="Times New Roman" w:cs="Times New Roman"/>
          <w:sz w:val="24"/>
        </w:rPr>
        <w:t>promising applications in several clinical imaging tasks,</w:t>
      </w:r>
      <w:r w:rsidRPr="006A1187">
        <w:rPr>
          <w:rFonts w:ascii="Times New Roman" w:hAnsi="Times New Roman" w:cs="Times New Roman"/>
          <w:sz w:val="24"/>
        </w:rPr>
        <w:t xml:space="preserve"> </w:t>
      </w:r>
      <w:r w:rsidR="003B2339">
        <w:rPr>
          <w:rFonts w:ascii="Times New Roman" w:hAnsi="Times New Roman" w:cs="Times New Roman"/>
          <w:sz w:val="24"/>
        </w:rPr>
        <w:t>providing higher explainability for practitioners and patients alike</w:t>
      </w:r>
      <w:r>
        <w:rPr>
          <w:rFonts w:ascii="Times New Roman" w:hAnsi="Times New Roman" w:cs="Times New Roman"/>
          <w:sz w:val="24"/>
        </w:rPr>
        <w:t xml:space="preserv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Analysis","id":"ITEM-1","issued":{"date-parts":[["2022","7","1"]]},"page":"102470","publisher":"Elsevier","title":"Explainable artificial intelligence (XAI) in deep learning-based medical image analysis","type":"article-journal","volume":"79"},"uris":["http://www.mendeley.com/documents/?uuid=4a68a878-e2b1-3a0b-9d5d-08bc60968fb5"]},{"id":"ITEM-2","itemData":{"DOI":"10.3390/JIMAGING6060052","ISSN":"2313433X","abstract":"Deep learning methods have been very effective for a variety of medical diagnostic tasks and have even outperformed human experts on some of those. However, the black-box nature of the algorithms has restricted their clinical use. Recent explainability studies aim to show the features that influence the decision of a model the most. The majority of literature reviews of this area have focused on taxonomy, ethics, and the need for explanations. A review of the current applications of explainable deep learning for different medical imaging tasks is presented here. The various approaches, challenges for clinical deployment, and the areas requiring further research are discussed here from a practical standpoint of a deep learning researcher designing a system for the clinical end-users.","author":[{"dropping-particle":"","family":"Singh","given":"Amitojdeep","non-dropping-particle":"","parse-names":false,"suffix":""},{"dropping-particle":"","family":"Sengupta","given":"Sourya","non-dropping-particle":"","parse-names":false,"suffix":""},{"dropping-particle":"","family":"Lakshminarayanan","given":"Vasudevan","non-dropping-particle":"","parse-names":false,"suffix":""}],"container-title":"Journal of Imaging","id":"ITEM-2","issue":"6","issued":{"date-parts":[["2020","6","20"]]},"page":"52","publisher":"MDPI AG","title":"Explainable deep learning models in medical image analysis","type":"article","volume":"6"},"uris":["http://www.mendeley.com/documents/?uuid=f0dfb458-0b79-3014-ac39-e4752b300be1"]}],"mendeley":{"formattedCitation":"(Singh et al., 2020; van der Velden et al., 2022)","plainTextFormattedCitation":"(Singh et al., 2020; van der Velden et al., 2022)","previouslyFormattedCitation":"(Singh et al., 2020; van der Velden et al., 2022)"},"properties":{"noteIndex":0},"schema":"https://github.com/citation-style-language/schema/raw/master/csl-citation.json"}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(Singh et al., 2020; van der Velden et al., 2022)</w:t>
      </w:r>
      <w:r w:rsidR="00DA0216">
        <w:rPr>
          <w:rFonts w:ascii="Times New Roman" w:hAnsi="Times New Roman" w:cs="Times New Roman"/>
          <w:sz w:val="24"/>
        </w:rPr>
        <w:fldChar w:fldCharType="end"/>
      </w:r>
      <w:r>
        <w:rPr>
          <w:rFonts w:ascii="Times New Roman" w:hAnsi="Times New Roman" w:cs="Times New Roman"/>
          <w:sz w:val="24"/>
        </w:rPr>
        <w:t>.</w:t>
      </w:r>
      <w:r w:rsidR="00883401">
        <w:rPr>
          <w:rFonts w:ascii="Times New Roman" w:hAnsi="Times New Roman" w:cs="Times New Roman"/>
          <w:sz w:val="24"/>
        </w:rPr>
        <w:t xml:space="preserve"> </w:t>
      </w:r>
    </w:p>
    <w:p w:rsidR="006A1187" w:rsidRDefault="006A1187" w:rsidP="008E4717">
      <w:pPr>
        <w:pStyle w:val="HTMLPreformatted"/>
        <w:spacing w:line="360" w:lineRule="auto"/>
        <w:jc w:val="both"/>
        <w:rPr>
          <w:rFonts w:ascii="Times New Roman" w:hAnsi="Times New Roman" w:cs="Times New Roman"/>
          <w:sz w:val="24"/>
        </w:rPr>
      </w:pPr>
      <w:r w:rsidRPr="006A1187">
        <w:rPr>
          <w:rFonts w:ascii="Times New Roman" w:hAnsi="Times New Roman" w:cs="Times New Roman"/>
          <w:sz w:val="24"/>
        </w:rPr>
        <w:t xml:space="preserve">In this study, we developed an explainable deep learning model for pulmonary edema detection using a DenseNet121 architecture with Grad-CAM visualizations. Our objectives were to: </w:t>
      </w:r>
    </w:p>
    <w:p w:rsidR="006A1187" w:rsidRPr="00883401" w:rsidRDefault="002C2173" w:rsidP="00BF1173">
      <w:pPr>
        <w:pStyle w:val="HTMLPreformatted"/>
        <w:numPr>
          <w:ilvl w:val="0"/>
          <w:numId w:val="9"/>
        </w:numPr>
        <w:spacing w:line="360" w:lineRule="auto"/>
        <w:rPr>
          <w:rFonts w:ascii="Times New Roman" w:hAnsi="Times New Roman" w:cs="Times New Roman"/>
          <w:sz w:val="24"/>
        </w:rPr>
      </w:pPr>
      <w:r>
        <w:rPr>
          <w:rFonts w:ascii="Times New Roman" w:hAnsi="Times New Roman" w:cs="Times New Roman"/>
          <w:sz w:val="24"/>
        </w:rPr>
        <w:t xml:space="preserve">Design a highly performant classification model for the identification of </w:t>
      </w:r>
      <w:r w:rsidR="00883401" w:rsidRPr="00883401">
        <w:rPr>
          <w:rFonts w:ascii="Times New Roman" w:hAnsi="Times New Roman" w:cs="Times New Roman"/>
          <w:sz w:val="24"/>
        </w:rPr>
        <w:t>pulmonary e</w:t>
      </w:r>
      <w:r>
        <w:rPr>
          <w:rFonts w:ascii="Times New Roman" w:hAnsi="Times New Roman" w:cs="Times New Roman"/>
          <w:sz w:val="24"/>
        </w:rPr>
        <w:t>dema based on the use of a DenseNet121 deep learning approach</w:t>
      </w:r>
      <w:r w:rsidR="00883401" w:rsidRPr="00883401">
        <w:rPr>
          <w:rFonts w:ascii="Times New Roman" w:hAnsi="Times New Roman" w:cs="Times New Roman"/>
          <w:sz w:val="24"/>
        </w:rPr>
        <w:t>.</w:t>
      </w:r>
      <w:r w:rsidR="006A1187" w:rsidRPr="00883401">
        <w:rPr>
          <w:rFonts w:ascii="Times New Roman" w:hAnsi="Times New Roman" w:cs="Times New Roman"/>
          <w:sz w:val="24"/>
        </w:rPr>
        <w:t xml:space="preserve"> </w:t>
      </w:r>
    </w:p>
    <w:p w:rsidR="006A1187" w:rsidRDefault="003B2339" w:rsidP="00BF1173">
      <w:pPr>
        <w:pStyle w:val="HTMLPreformatted"/>
        <w:numPr>
          <w:ilvl w:val="0"/>
          <w:numId w:val="9"/>
        </w:numPr>
        <w:spacing w:line="360" w:lineRule="auto"/>
        <w:rPr>
          <w:rFonts w:ascii="Times New Roman" w:hAnsi="Times New Roman" w:cs="Times New Roman"/>
          <w:sz w:val="24"/>
        </w:rPr>
      </w:pPr>
      <w:r>
        <w:rPr>
          <w:rFonts w:ascii="Times New Roman" w:hAnsi="Times New Roman" w:cs="Times New Roman"/>
          <w:sz w:val="24"/>
        </w:rPr>
        <w:t>Design</w:t>
      </w:r>
      <w:r w:rsidR="006A1187" w:rsidRPr="006A1187">
        <w:rPr>
          <w:rFonts w:ascii="Times New Roman" w:hAnsi="Times New Roman" w:cs="Times New Roman"/>
          <w:sz w:val="24"/>
        </w:rPr>
        <w:t xml:space="preserve"> clinically</w:t>
      </w:r>
      <w:r w:rsidR="006A1187">
        <w:rPr>
          <w:rFonts w:ascii="Times New Roman" w:hAnsi="Times New Roman" w:cs="Times New Roman"/>
          <w:sz w:val="24"/>
        </w:rPr>
        <w:t xml:space="preserve"> interpretable attention maps</w:t>
      </w:r>
      <w:r w:rsidR="00883401">
        <w:rPr>
          <w:rFonts w:ascii="Times New Roman" w:hAnsi="Times New Roman" w:cs="Times New Roman"/>
          <w:sz w:val="24"/>
        </w:rPr>
        <w:t xml:space="preserve"> </w:t>
      </w:r>
      <w:r>
        <w:rPr>
          <w:rFonts w:ascii="Times New Roman" w:hAnsi="Times New Roman" w:cs="Times New Roman"/>
          <w:sz w:val="24"/>
        </w:rPr>
        <w:t>through the implementation of the</w:t>
      </w:r>
      <w:r w:rsidR="00883401">
        <w:rPr>
          <w:rFonts w:ascii="Times New Roman" w:hAnsi="Times New Roman" w:cs="Times New Roman"/>
          <w:sz w:val="24"/>
        </w:rPr>
        <w:t xml:space="preserve"> Grad-CAM</w:t>
      </w:r>
      <w:r>
        <w:rPr>
          <w:rFonts w:ascii="Times New Roman" w:hAnsi="Times New Roman" w:cs="Times New Roman"/>
          <w:sz w:val="24"/>
        </w:rPr>
        <w:t xml:space="preserve"> technique,</w:t>
      </w:r>
      <w:r w:rsidR="006A1187">
        <w:rPr>
          <w:rFonts w:ascii="Times New Roman" w:hAnsi="Times New Roman" w:cs="Times New Roman"/>
          <w:sz w:val="24"/>
        </w:rPr>
        <w:t xml:space="preserve"> </w:t>
      </w:r>
      <w:r w:rsidR="006A1187" w:rsidRPr="006A1187">
        <w:rPr>
          <w:rFonts w:ascii="Times New Roman" w:hAnsi="Times New Roman" w:cs="Times New Roman"/>
          <w:sz w:val="24"/>
        </w:rPr>
        <w:t xml:space="preserve">and </w:t>
      </w:r>
    </w:p>
    <w:p w:rsidR="006A1187" w:rsidRPr="006A1187" w:rsidRDefault="002C2173" w:rsidP="00BF1173">
      <w:pPr>
        <w:pStyle w:val="HTMLPreformatted"/>
        <w:numPr>
          <w:ilvl w:val="0"/>
          <w:numId w:val="9"/>
        </w:numPr>
        <w:spacing w:line="360" w:lineRule="auto"/>
        <w:rPr>
          <w:rFonts w:ascii="Times New Roman" w:hAnsi="Times New Roman" w:cs="Times New Roman"/>
          <w:sz w:val="24"/>
        </w:rPr>
      </w:pPr>
      <w:r>
        <w:rPr>
          <w:rFonts w:ascii="Times New Roman" w:hAnsi="Times New Roman" w:cs="Times New Roman"/>
          <w:sz w:val="24"/>
        </w:rPr>
        <w:t>Assess</w:t>
      </w:r>
      <w:r w:rsidR="006A1187" w:rsidRPr="006A1187">
        <w:rPr>
          <w:rFonts w:ascii="Times New Roman" w:hAnsi="Times New Roman" w:cs="Times New Roman"/>
          <w:sz w:val="24"/>
        </w:rPr>
        <w:t xml:space="preserve"> model performance </w:t>
      </w:r>
      <w:r>
        <w:rPr>
          <w:rFonts w:ascii="Times New Roman" w:hAnsi="Times New Roman" w:cs="Times New Roman"/>
          <w:sz w:val="24"/>
        </w:rPr>
        <w:t>through well-established</w:t>
      </w:r>
      <w:r w:rsidR="006A1187" w:rsidRPr="006A1187">
        <w:rPr>
          <w:rFonts w:ascii="Times New Roman" w:hAnsi="Times New Roman" w:cs="Times New Roman"/>
          <w:sz w:val="24"/>
        </w:rPr>
        <w:t xml:space="preserve"> medical imaging </w:t>
      </w:r>
      <w:r>
        <w:rPr>
          <w:rFonts w:ascii="Times New Roman" w:hAnsi="Times New Roman" w:cs="Times New Roman"/>
          <w:sz w:val="24"/>
        </w:rPr>
        <w:t xml:space="preserve">performance </w:t>
      </w:r>
      <w:r w:rsidR="006A1187" w:rsidRPr="006A1187">
        <w:rPr>
          <w:rFonts w:ascii="Times New Roman" w:hAnsi="Times New Roman" w:cs="Times New Roman"/>
          <w:sz w:val="24"/>
        </w:rPr>
        <w:t>metrics.</w:t>
      </w:r>
    </w:p>
    <w:p w:rsidR="006A1187" w:rsidRPr="00193695" w:rsidRDefault="00C13908" w:rsidP="00E31806">
      <w:pPr>
        <w:pStyle w:val="Heading1"/>
        <w:rPr>
          <w:rStyle w:val="Strong"/>
          <w:b/>
          <w:bCs w:val="0"/>
        </w:rPr>
      </w:pPr>
      <w:r>
        <w:rPr>
          <w:rStyle w:val="Strong"/>
          <w:b/>
          <w:bCs w:val="0"/>
        </w:rPr>
        <w:t xml:space="preserve">2. </w:t>
      </w:r>
      <w:r w:rsidR="006A1187" w:rsidRPr="00193695">
        <w:rPr>
          <w:rStyle w:val="Strong"/>
          <w:b/>
          <w:bCs w:val="0"/>
        </w:rPr>
        <w:t>MATERIALS AND METHODS</w:t>
      </w:r>
    </w:p>
    <w:p w:rsidR="008616B1" w:rsidRPr="00193695" w:rsidRDefault="008616B1" w:rsidP="00695EBF">
      <w:pPr>
        <w:pStyle w:val="Heading2"/>
        <w:rPr>
          <w:rStyle w:val="token"/>
          <w:rFonts w:eastAsiaTheme="majorEastAsia"/>
          <w:szCs w:val="24"/>
        </w:rPr>
      </w:pPr>
      <w:r w:rsidRPr="00193695">
        <w:rPr>
          <w:rStyle w:val="token"/>
          <w:rFonts w:eastAsiaTheme="majorEastAsia"/>
          <w:szCs w:val="24"/>
        </w:rPr>
        <w:t>2.1 Dataset</w:t>
      </w:r>
    </w:p>
    <w:p w:rsidR="008616B1" w:rsidRDefault="002C2173" w:rsidP="0095366C">
      <w:pPr>
        <w:pStyle w:val="HTMLPreformatted"/>
        <w:spacing w:line="360" w:lineRule="auto"/>
        <w:jc w:val="both"/>
        <w:rPr>
          <w:rFonts w:ascii="Times New Roman" w:hAnsi="Times New Roman" w:cs="Times New Roman"/>
          <w:sz w:val="24"/>
        </w:rPr>
      </w:pPr>
      <w:r w:rsidRPr="002C2173">
        <w:rPr>
          <w:rFonts w:ascii="Times New Roman" w:hAnsi="Times New Roman" w:cs="Times New Roman"/>
          <w:sz w:val="24"/>
        </w:rPr>
        <w:t xml:space="preserve">The dataset used in this study included frontal chest X-rays (CXRs) obtained from the radiology department of the Mbeya Regional Referral Hospital (MRRH), Mbeya, Tanzania. In this study, a total of 1000 frontal CXR images were collected; this data was divided into 500 pulmonary </w:t>
      </w:r>
      <w:r w:rsidRPr="002C2173">
        <w:rPr>
          <w:rFonts w:ascii="Times New Roman" w:hAnsi="Times New Roman" w:cs="Times New Roman"/>
          <w:sz w:val="24"/>
        </w:rPr>
        <w:lastRenderedPageBreak/>
        <w:t>edema images and 500 normal images. The dataset consists of frontal chest X-</w:t>
      </w:r>
      <w:r w:rsidR="00695EBF">
        <w:rPr>
          <w:rFonts w:ascii="Times New Roman" w:hAnsi="Times New Roman" w:cs="Times New Roman"/>
          <w:sz w:val="24"/>
        </w:rPr>
        <w:t>rays with different resolutions</w:t>
      </w:r>
      <w:r w:rsidR="001C5F83" w:rsidRPr="001C5F83">
        <w:rPr>
          <w:rFonts w:ascii="Times New Roman" w:hAnsi="Times New Roman" w:cs="Times New Roman"/>
          <w:sz w:val="24"/>
        </w:rPr>
        <w:t>, which were standardized during preprocessing.</w:t>
      </w:r>
    </w:p>
    <w:p w:rsidR="008616B1" w:rsidRPr="00193695" w:rsidRDefault="008616B1" w:rsidP="00695EBF">
      <w:pPr>
        <w:pStyle w:val="Heading2"/>
        <w:rPr>
          <w:rStyle w:val="token"/>
          <w:rFonts w:eastAsiaTheme="majorEastAsia"/>
        </w:rPr>
      </w:pPr>
      <w:r w:rsidRPr="00193695">
        <w:rPr>
          <w:rStyle w:val="token"/>
          <w:rFonts w:eastAsiaTheme="majorEastAsia"/>
        </w:rPr>
        <w:t>2.2 Data Preprocessing</w:t>
      </w:r>
    </w:p>
    <w:p w:rsidR="00682FDC" w:rsidRDefault="00695EBF" w:rsidP="0095366C">
      <w:pPr>
        <w:pStyle w:val="HTMLPreformatted"/>
        <w:spacing w:line="360" w:lineRule="auto"/>
        <w:jc w:val="both"/>
        <w:rPr>
          <w:rFonts w:ascii="Times New Roman" w:hAnsi="Times New Roman" w:cs="Times New Roman"/>
          <w:sz w:val="24"/>
        </w:rPr>
      </w:pPr>
      <w:r>
        <w:rPr>
          <w:rFonts w:ascii="Times New Roman" w:hAnsi="Times New Roman" w:cs="Times New Roman"/>
          <w:sz w:val="24"/>
        </w:rPr>
        <w:t>The i</w:t>
      </w:r>
      <w:r w:rsidR="008616B1" w:rsidRPr="008616B1">
        <w:rPr>
          <w:rFonts w:ascii="Times New Roman" w:hAnsi="Times New Roman" w:cs="Times New Roman"/>
          <w:sz w:val="24"/>
        </w:rPr>
        <w:t>mages were resized to 224 × 224 pixels to match</w:t>
      </w:r>
      <w:r>
        <w:rPr>
          <w:rFonts w:ascii="Times New Roman" w:hAnsi="Times New Roman" w:cs="Times New Roman"/>
          <w:sz w:val="24"/>
        </w:rPr>
        <w:t xml:space="preserve"> with the requirements of</w:t>
      </w:r>
      <w:r w:rsidR="008616B1" w:rsidRPr="008616B1">
        <w:rPr>
          <w:rFonts w:ascii="Times New Roman" w:hAnsi="Times New Roman" w:cs="Times New Roman"/>
          <w:sz w:val="24"/>
        </w:rPr>
        <w:t xml:space="preserve"> DenseNet121</w:t>
      </w:r>
      <w:r>
        <w:rPr>
          <w:rFonts w:ascii="Times New Roman" w:hAnsi="Times New Roman" w:cs="Times New Roman"/>
          <w:sz w:val="24"/>
        </w:rPr>
        <w:t xml:space="preserve"> model inputs</w:t>
      </w:r>
      <w:r w:rsidR="00682FDC">
        <w:rPr>
          <w:rFonts w:ascii="Times New Roman" w:hAnsi="Times New Roman" w:cs="Times New Roman"/>
          <w:sz w:val="24"/>
        </w:rPr>
        <w:t xml:space="preserve">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 lutional Network (DenseNet), which connects each layer to every other layer in a feed-forward fashion. Whereas traditional convolutional networks with L layers have L connections—one between each layer and its subsequent layer—our network has L(L+1) direct connections. For 2 each layer, the feature-maps of all preceding layers are used as inputs, and its own feature-maps are used as inputs into all subsequent layers. DenseNets have several com- pelling advantages: they alleviate the vanishing-gradient problem, strengthen feature propagation, encourage fea- ture reuse, and substantially reduce the number ofparame- ters. We evaluate our proposed architecture on four highly competitive object recognition benchmark tasks (CIFAR-10, CIFAR-100, SVHN, and ImageNet). DenseNets obtain sig- nificant improvements over the state-of-the-art on most of them, whilst requiring less computation to achieve high per- formance. Code and pre-trained models are available at https://github.com/liuzhuang13/DenseNet.","author":[{"dropping-particle":"","family":"Huang","given":"Gao","non-dropping-particle":"","parse-names":false,"suffix":""},{"dropping-particle":"Van Der","family":"Maaten","given":"Laurens","non-dropping-particle":"","parse-names":false,"suffix":""},{"dropping-particle":"","family":"Weinberger","given":"Kilian Q","non-dropping-particle":"","parse-names":false,"suffix":""}],"container-title":"Proceedings of the IEEE Conference on Computer Vision and Pattern Recognition (CVPR), 2017, pp.","id":"ITEM-1","issue":"3","issued":{"date-parts":[["2017"]]},"page":"4700-4708","title":"Densely Connected Convolutional Networks","type":"article-journal","volume":"109"},"uris":["http://www.mendeley.com/documents/?uuid=44a79a86-0a79-44a7-8028-bd29e2a07e0c"]}],"mendeley":{"formattedCitation":"(G. Huang et al., 2017)","plainTextFormattedCitation":"(G. Huang et al., 2017)","previouslyFormattedCitation":"(G. Huang et al., 2017)"},"properties":{"noteIndex":0},"schema":"https://github.com/citation-style-language/schema/raw/master/csl-citation.json"}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(G. Huang et al., 2017)</w:t>
      </w:r>
      <w:r w:rsidR="00DA0216">
        <w:rPr>
          <w:rFonts w:ascii="Times New Roman" w:hAnsi="Times New Roman" w:cs="Times New Roman"/>
          <w:sz w:val="24"/>
        </w:rPr>
        <w:fldChar w:fldCharType="end"/>
      </w:r>
      <w:r>
        <w:rPr>
          <w:rFonts w:ascii="Times New Roman" w:hAnsi="Times New Roman" w:cs="Times New Roman"/>
          <w:sz w:val="24"/>
        </w:rPr>
        <w:t>. The p</w:t>
      </w:r>
      <w:r w:rsidR="008616B1" w:rsidRPr="008616B1">
        <w:rPr>
          <w:rFonts w:ascii="Times New Roman" w:hAnsi="Times New Roman" w:cs="Times New Roman"/>
          <w:sz w:val="24"/>
        </w:rPr>
        <w:t xml:space="preserve">ixel values were </w:t>
      </w:r>
      <w:r>
        <w:rPr>
          <w:rFonts w:ascii="Times New Roman" w:hAnsi="Times New Roman" w:cs="Times New Roman"/>
          <w:sz w:val="24"/>
        </w:rPr>
        <w:t>scaled to a value between</w:t>
      </w:r>
      <w:r w:rsidR="008616B1" w:rsidRPr="008616B1">
        <w:rPr>
          <w:rFonts w:ascii="Times New Roman" w:hAnsi="Times New Roman" w:cs="Times New Roman"/>
          <w:sz w:val="24"/>
        </w:rPr>
        <w:t xml:space="preserve"> [0, 1] by dividing</w:t>
      </w:r>
      <w:r>
        <w:rPr>
          <w:rFonts w:ascii="Times New Roman" w:hAnsi="Times New Roman" w:cs="Times New Roman"/>
          <w:sz w:val="24"/>
        </w:rPr>
        <w:t xml:space="preserve"> the value</w:t>
      </w:r>
      <w:r w:rsidR="008616B1" w:rsidRPr="008616B1">
        <w:rPr>
          <w:rFonts w:ascii="Times New Roman" w:hAnsi="Times New Roman" w:cs="Times New Roman"/>
          <w:sz w:val="24"/>
        </w:rPr>
        <w:t xml:space="preserve"> by 255. </w:t>
      </w:r>
      <w:r w:rsidR="00914F4E" w:rsidRPr="00914F4E">
        <w:rPr>
          <w:rFonts w:ascii="Times New Roman" w:hAnsi="Times New Roman" w:cs="Times New Roman"/>
          <w:sz w:val="24"/>
        </w:rPr>
        <w:t xml:space="preserve">Data augmentation was used during training but not validation phase to help the model generalize better </w:t>
      </w:r>
      <w:r w:rsidR="00DA0216">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{"citationItems":[{"id":"ITEM-1","itemData":{"DOI":"10.1186/S40537-019-0197-0/FIGURES/33","ISSN":"21961115","abstract":"Deep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Data","id":"ITEM-1","issue":"1","issued":{"date-parts":[["2019","12","1"]]},"page":"60-","publisher":"SpringerOpen","title":"A survey on Image Data Augmentation for Deep Learning","type":"article-journal","volume":"6"},"uris":["http://www.mendeley.com/documents/?uuid=655f6ce9-6209-3150-acc2-e74742f571a8"]}],"mendeley":{"formattedCitation":"(Shorten &amp; Khoshgoftaar, 2019)","plainTextFormattedCitation":"(Shorten &amp; Khoshgoftaar, 2019)","previouslyFormattedCitation":"(Shorten &amp; Khoshgoftaar, 2019)"},"properties":{"noteIndex":0},"schema":"https://github.com/citation-style-language/schema/raw/master/csl-citation.json"}</w:instrText>
      </w:r>
      <w:r w:rsidR="00DA0216">
        <w:rPr>
          <w:rFonts w:ascii="Times New Roman" w:hAnsi="Times New Roman" w:cs="Times New Roman"/>
          <w:sz w:val="24"/>
        </w:rPr>
        <w:fldChar w:fldCharType="separate"/>
      </w:r>
      <w:r w:rsidR="005A46D7" w:rsidRPr="005A46D7">
        <w:rPr>
          <w:rFonts w:ascii="Times New Roman" w:hAnsi="Times New Roman" w:cs="Times New Roman"/>
          <w:noProof/>
          <w:sz w:val="24"/>
        </w:rPr>
        <w:t>(Shorten &amp; Khoshgoftaar, 2019)</w:t>
      </w:r>
      <w:r w:rsidR="00DA0216">
        <w:rPr>
          <w:rFonts w:ascii="Times New Roman" w:hAnsi="Times New Roman" w:cs="Times New Roman"/>
          <w:sz w:val="24"/>
        </w:rPr>
        <w:fldChar w:fldCharType="end"/>
      </w:r>
      <w:r w:rsidR="0095366C">
        <w:rPr>
          <w:rFonts w:ascii="Times New Roman" w:hAnsi="Times New Roman" w:cs="Times New Roman"/>
          <w:sz w:val="24"/>
        </w:rPr>
        <w:t xml:space="preserve">. </w:t>
      </w:r>
      <w:r w:rsidR="00914F4E" w:rsidRPr="00914F4E">
        <w:rPr>
          <w:rFonts w:ascii="Times New Roman" w:hAnsi="Times New Roman" w:cs="Times New Roman"/>
          <w:sz w:val="24"/>
        </w:rPr>
        <w:t>The methods used for data augmentation include rotation</w:t>
      </w:r>
      <w:r w:rsidR="0095366C">
        <w:rPr>
          <w:rFonts w:ascii="Times New Roman" w:hAnsi="Times New Roman" w:cs="Times New Roman"/>
          <w:sz w:val="24"/>
        </w:rPr>
        <w:t xml:space="preserve">, width and </w:t>
      </w:r>
      <w:r w:rsidR="00914F4E">
        <w:rPr>
          <w:rFonts w:ascii="Times New Roman" w:hAnsi="Times New Roman" w:cs="Times New Roman"/>
          <w:sz w:val="24"/>
        </w:rPr>
        <w:t>height shifts</w:t>
      </w:r>
      <w:r w:rsidR="00682FDC" w:rsidRPr="00682FDC">
        <w:rPr>
          <w:rFonts w:ascii="Times New Roman" w:hAnsi="Times New Roman" w:cs="Times New Roman"/>
          <w:sz w:val="24"/>
        </w:rPr>
        <w:t>, zoom</w:t>
      </w:r>
      <w:r w:rsidR="00914F4E">
        <w:rPr>
          <w:rFonts w:ascii="Times New Roman" w:hAnsi="Times New Roman" w:cs="Times New Roman"/>
          <w:sz w:val="24"/>
        </w:rPr>
        <w:t>ing range</w:t>
      </w:r>
      <w:r w:rsidR="00682FDC" w:rsidRPr="00682FDC">
        <w:rPr>
          <w:rFonts w:ascii="Times New Roman" w:hAnsi="Times New Roman" w:cs="Times New Roman"/>
          <w:sz w:val="24"/>
        </w:rPr>
        <w:t>, and horizon</w:t>
      </w:r>
      <w:r w:rsidR="00914F4E">
        <w:rPr>
          <w:rFonts w:ascii="Times New Roman" w:hAnsi="Times New Roman" w:cs="Times New Roman"/>
          <w:sz w:val="24"/>
        </w:rPr>
        <w:t>tal flipping</w:t>
      </w:r>
      <w:r w:rsidR="00682FDC" w:rsidRPr="00682FDC">
        <w:rPr>
          <w:rFonts w:ascii="Times New Roman" w:hAnsi="Times New Roman" w:cs="Times New Roman"/>
          <w:sz w:val="24"/>
        </w:rPr>
        <w:t>.</w:t>
      </w:r>
    </w:p>
    <w:p w:rsidR="007A67CB" w:rsidRPr="007A67CB" w:rsidRDefault="007A67CB" w:rsidP="00695EBF">
      <w:pPr>
        <w:pStyle w:val="Heading2"/>
        <w:rPr>
          <w:szCs w:val="20"/>
        </w:rPr>
      </w:pPr>
      <w:r>
        <w:t>2.3</w:t>
      </w:r>
      <w:r w:rsidRPr="007A67CB">
        <w:rPr>
          <w:szCs w:val="20"/>
        </w:rPr>
        <w:t xml:space="preserve"> </w:t>
      </w:r>
      <w:r w:rsidRPr="007A67CB">
        <w:t>Model Architecture</w:t>
      </w:r>
    </w:p>
    <w:p w:rsidR="008616B1" w:rsidRPr="008616B1" w:rsidRDefault="00914F4E" w:rsidP="0095366C">
      <w:pPr>
        <w:pStyle w:val="HTMLPreformatted"/>
        <w:spacing w:line="360" w:lineRule="auto"/>
        <w:jc w:val="both"/>
        <w:rPr>
          <w:rFonts w:ascii="Times New Roman" w:hAnsi="Times New Roman" w:cs="Times New Roman"/>
          <w:sz w:val="24"/>
        </w:rPr>
      </w:pPr>
      <w:r w:rsidRPr="00914F4E">
        <w:rPr>
          <w:rFonts w:ascii="Times New Roman" w:hAnsi="Times New Roman" w:cs="Times New Roman"/>
          <w:sz w:val="24"/>
        </w:rPr>
        <w:t xml:space="preserve">The proposed model used the pre-trained model DenseNet121 trained on ImageNet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 lutional Network (DenseNet), which connects each layer to every other layer in a feed-forward fashion. Whereas traditional convolutional networks with L layers have L connections—one between each layer and its subsequent layer—our network has L(L+1) direct connections. For 2 each layer, the feature-maps of all preceding layers are used as inputs, and its own feature-maps are used as inputs into all subsequent layers. DenseNets have several com- pelling advantages: they alleviate the vanishing-gradient problem, strengthen feature propagation, encourage fea- ture reuse, and substantially reduce the number ofparame- ters. We evaluate our proposed architecture on four highly competitive object recognition benchmark tasks (CIFAR-10, CIFAR-100, SVHN, and ImageNet). DenseNets obtain sig- nificant improvements over the state-of-the-art on most of them, whilst requiring less computation to achieve high per- formance. Code and pre-trained models are available at https://github.com/liuzhuang13/DenseNet.","author":[{"dropping-particle":"","family":"Huang","given":"Gao","non-dropping-particle":"","parse-names":false,"suffix":""},{"dropping-particle":"Van Der","family":"Maaten","given":"Laurens","non-dropping-particle":"","parse-names":false,"suffix":""},{"dropping-particle":"","family":"Weinberger","given":"Kilian Q","non-dropping-particle":"","parse-names":false,"suffix":""}],"container-title":"Proceedings of the IEEE Conference on Computer Vision and Pattern Recognition (CVPR), 2017, pp.","id":"ITEM-1","issue":"3","issued":{"date-parts":[["2017"]]},"page":"4700-4708","title":"Densely Connected Convolutional Networks","type":"article-journal","volume":"109"},"uris":["http://www.mendeley.com/documents/?uuid=44a79a86-0a79-44a7-8028-bd29e2a07e0c"]},{"id":"ITEM-2","itemData":{"DOI":"10.1109/CVPR.2009.5206848","ISBN":"9781424439911","abstract":"The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author":[{"dropping-particle":"","family":"Deng","given":"Jia","non-dropping-particle":"","parse-names":false,"suffix":""},{"dropping-particle":"","family":"Dong","given":"Wei","non-dropping-particle":"","parse-names":false,"suffix":""},{"dropping-particle":"","family":"Socher","given":"Richard","non-dropping-particle":"","parse-names":false,"suffix":""},{"dropping-particle":"","family":"Li","given":"Li Jia","non-dropping-particle":"","parse-names":false,"suffix":""},{"dropping-particle":"","family":"Li","given":"Kai","non-dropping-particle":"","parse-names":false,"suffix":""},{"dropping-particle":"","family":"Fei-Fei","given":"Li","non-dropping-particle":"","parse-names":false,"suffix":""}],"container-title":"2009 IEEE Conference on Computer Vision and Pattern Recognition, CVPR 2009","id":"ITEM-2","issued":{"date-parts":[["2009"]]},"page":"248-255","publisher":"IEEE Computer Society","title":"ImageNet: A Large-Scale Hierarchical Image Database","type":"article-journal"},"uris":["http://www.mendeley.com/documents/?uuid=07fd2999-01d6-3da9-8f11-c9605ea1bd50"]}],"mendeley":{"formattedCitation":"(Deng et al., 2009; G. Huang et al., 2017)","plainTextFormattedCitation":"(Deng et al., 2009; G. Huang et al., 2017)","previouslyFormattedCitation":"(Deng et al., 2009; G. Huang et al., 2017)"},"properties":{"noteIndex":0},"schema":"https://github.com/citation-style-language/schema/raw/master/csl-citation.json"}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(Deng et al., 2009; G. Huang et al., 2017)</w:t>
      </w:r>
      <w:r w:rsidR="00AC279C">
        <w:rPr>
          <w:rFonts w:ascii="Times New Roman" w:hAnsi="Times New Roman" w:cs="Times New Roman"/>
          <w:sz w:val="24"/>
        </w:rPr>
        <w:fldChar w:fldCharType="end"/>
      </w:r>
      <w:r w:rsidR="008616B1" w:rsidRPr="008616B1">
        <w:rPr>
          <w:rFonts w:ascii="Times New Roman" w:hAnsi="Times New Roman" w:cs="Times New Roman"/>
          <w:sz w:val="24"/>
        </w:rPr>
        <w:t xml:space="preserve">. </w:t>
      </w:r>
      <w:r w:rsidRPr="00914F4E">
        <w:rPr>
          <w:rFonts w:ascii="Times New Roman" w:hAnsi="Times New Roman" w:cs="Times New Roman"/>
          <w:sz w:val="24"/>
        </w:rPr>
        <w:t>The classification layers were structured in the following order:</w:t>
      </w:r>
    </w:p>
    <w:p w:rsidR="008616B1" w:rsidRPr="008616B1"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Global average pooling layer</w:t>
      </w:r>
    </w:p>
    <w:p w:rsidR="008616B1" w:rsidRPr="006F57EE" w:rsidRDefault="00B42A60" w:rsidP="00BF1173">
      <w:pPr>
        <w:pStyle w:val="HTMLPreformatted"/>
        <w:numPr>
          <w:ilvl w:val="0"/>
          <w:numId w:val="2"/>
        </w:numPr>
        <w:spacing w:line="360" w:lineRule="auto"/>
        <w:rPr>
          <w:rFonts w:ascii="Times New Roman" w:hAnsi="Times New Roman" w:cs="Times New Roman"/>
          <w:sz w:val="24"/>
        </w:rPr>
      </w:pPr>
      <w:r>
        <w:rPr>
          <w:rFonts w:ascii="Times New Roman" w:hAnsi="Times New Roman" w:cs="Times New Roman"/>
          <w:sz w:val="24"/>
        </w:rPr>
        <w:t>Dropout layer with a dropout rate 30%</w:t>
      </w:r>
      <w:r w:rsidR="008616B1" w:rsidRPr="008616B1">
        <w:rPr>
          <w:rFonts w:ascii="Times New Roman" w:hAnsi="Times New Roman" w:cs="Times New Roman"/>
          <w:sz w:val="24"/>
        </w:rPr>
        <w:t xml:space="preserve"> for regularization</w:t>
      </w:r>
      <w:r w:rsidR="006F57EE">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author":[{"dropping-particle":"","family":"Srivastava","given":"N","non-dropping-particle":"","parse-names":false,"suffix":""},{"dropping-particle":"","family":"Hinton","given":"G","non-dropping-particle":"","parse-names":false,"suffix":""},{"dropping-particle":"","family":"…","given":"A Krizhevsky - The journal of machine","non-dropping-particle":"","parse-names":false,"suffix":""},{"dropping-particle":"","family":"2014","given":"undefined","non-dropping-particle":"","parse-names":false,"suffix":""}],"container-title":"jmlr.org","id":"ITEM-1","issued":{"date-parts":[["2014"]]},"page":"1929-1958","title":"Dropout: a simple way to prevent neural networks from overfitting","type":"article-journal","volume":"15"},"uris":["http://www.mendeley.com/documents/?uuid=3e1521ad-5c81-32b2-b6fb-3be2d446d7bc"]}],"mendeley":{"formattedCitation":"(Srivastava et al., 2014)","plainTextFormattedCitation":"(Srivastava et al., 2014)","previouslyFormattedCitation":"(Srivastava et al., 2014)"},"properties":{"noteIndex":0},"schema":"https://github.com/citation-style-language/schema/raw/master/csl-citation.json"}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(Srivastava et al., 2014)</w:t>
      </w:r>
      <w:r w:rsidR="00AC279C">
        <w:rPr>
          <w:rFonts w:ascii="Times New Roman" w:hAnsi="Times New Roman" w:cs="Times New Roman"/>
          <w:sz w:val="24"/>
        </w:rPr>
        <w:fldChar w:fldCharType="end"/>
      </w:r>
      <w:r w:rsidR="006F57EE">
        <w:rPr>
          <w:rFonts w:ascii="Times New Roman" w:hAnsi="Times New Roman" w:cs="Times New Roman"/>
          <w:sz w:val="24"/>
        </w:rPr>
        <w:t>.</w:t>
      </w:r>
    </w:p>
    <w:p w:rsidR="008616B1" w:rsidRPr="008616B1" w:rsidRDefault="008616B1" w:rsidP="00BF1173">
      <w:pPr>
        <w:pStyle w:val="HTMLPreformatted"/>
        <w:numPr>
          <w:ilvl w:val="0"/>
          <w:numId w:val="2"/>
        </w:numPr>
        <w:spacing w:line="360" w:lineRule="auto"/>
        <w:rPr>
          <w:rFonts w:ascii="Times New Roman" w:hAnsi="Times New Roman" w:cs="Times New Roman"/>
          <w:sz w:val="24"/>
        </w:rPr>
      </w:pPr>
      <w:r w:rsidRPr="008616B1">
        <w:rPr>
          <w:rFonts w:ascii="Times New Roman" w:hAnsi="Times New Roman" w:cs="Times New Roman"/>
          <w:sz w:val="24"/>
        </w:rPr>
        <w:t xml:space="preserve">Dense layer (128 </w:t>
      </w:r>
      <w:r w:rsidR="00B42A60">
        <w:rPr>
          <w:rFonts w:ascii="Times New Roman" w:hAnsi="Times New Roman" w:cs="Times New Roman"/>
          <w:sz w:val="24"/>
        </w:rPr>
        <w:t>neurons</w:t>
      </w:r>
      <w:r w:rsidRPr="008616B1">
        <w:rPr>
          <w:rFonts w:ascii="Times New Roman" w:hAnsi="Times New Roman" w:cs="Times New Roman"/>
          <w:sz w:val="24"/>
        </w:rPr>
        <w:t>, ReLU activation)</w:t>
      </w:r>
    </w:p>
    <w:p w:rsidR="008616B1" w:rsidRPr="008616B1" w:rsidRDefault="00914F4E" w:rsidP="00BF1173">
      <w:pPr>
        <w:pStyle w:val="HTMLPreformatted"/>
        <w:numPr>
          <w:ilvl w:val="0"/>
          <w:numId w:val="2"/>
        </w:numPr>
        <w:spacing w:line="360" w:lineRule="auto"/>
        <w:rPr>
          <w:rFonts w:ascii="Times New Roman" w:hAnsi="Times New Roman" w:cs="Times New Roman"/>
          <w:sz w:val="24"/>
        </w:rPr>
      </w:pPr>
      <w:r>
        <w:rPr>
          <w:rFonts w:ascii="Times New Roman" w:hAnsi="Times New Roman" w:cs="Times New Roman"/>
          <w:sz w:val="24"/>
        </w:rPr>
        <w:t>Dropout layer with a dropout</w:t>
      </w:r>
      <w:r w:rsidR="00B42A60">
        <w:rPr>
          <w:rFonts w:ascii="Times New Roman" w:hAnsi="Times New Roman" w:cs="Times New Roman"/>
          <w:sz w:val="24"/>
        </w:rPr>
        <w:t xml:space="preserve"> rate of 30%</w:t>
      </w:r>
    </w:p>
    <w:p w:rsidR="008616B1" w:rsidRDefault="00914F4E" w:rsidP="00BF1173">
      <w:pPr>
        <w:pStyle w:val="HTMLPreformatted"/>
        <w:numPr>
          <w:ilvl w:val="0"/>
          <w:numId w:val="2"/>
        </w:numPr>
        <w:spacing w:line="360" w:lineRule="auto"/>
        <w:rPr>
          <w:rFonts w:ascii="Times New Roman" w:hAnsi="Times New Roman" w:cs="Times New Roman"/>
          <w:sz w:val="24"/>
        </w:rPr>
      </w:pPr>
      <w:r>
        <w:rPr>
          <w:rFonts w:ascii="Times New Roman" w:hAnsi="Times New Roman" w:cs="Times New Roman"/>
          <w:sz w:val="24"/>
        </w:rPr>
        <w:t>Output layer with one neuron (</w:t>
      </w:r>
      <w:r w:rsidR="008616B1" w:rsidRPr="008616B1">
        <w:rPr>
          <w:rFonts w:ascii="Times New Roman" w:hAnsi="Times New Roman" w:cs="Times New Roman"/>
          <w:sz w:val="24"/>
        </w:rPr>
        <w:t>sigmoid activation</w:t>
      </w:r>
      <w:r w:rsidR="00741CB3">
        <w:rPr>
          <w:rFonts w:ascii="Times New Roman" w:hAnsi="Times New Roman" w:cs="Times New Roman"/>
          <w:sz w:val="24"/>
        </w:rPr>
        <w:t xml:space="preserve"> for binary classification</w:t>
      </w:r>
      <w:r w:rsidR="008616B1" w:rsidRPr="008616B1">
        <w:rPr>
          <w:rFonts w:ascii="Times New Roman" w:hAnsi="Times New Roman" w:cs="Times New Roman"/>
          <w:sz w:val="24"/>
        </w:rPr>
        <w:t>)</w:t>
      </w:r>
    </w:p>
    <w:p w:rsidR="00741CB3" w:rsidRPr="008616B1" w:rsidRDefault="00B42A60" w:rsidP="00BF1173">
      <w:pPr>
        <w:pStyle w:val="HTMLPreformatted"/>
        <w:spacing w:line="360" w:lineRule="auto"/>
        <w:rPr>
          <w:rFonts w:ascii="Times New Roman" w:hAnsi="Times New Roman" w:cs="Times New Roman"/>
          <w:sz w:val="24"/>
        </w:rPr>
      </w:pPr>
      <w:r>
        <w:rPr>
          <w:rFonts w:ascii="Times New Roman" w:hAnsi="Times New Roman" w:cs="Times New Roman"/>
          <w:sz w:val="24"/>
        </w:rPr>
        <w:t>The total number of parameters = 7,168,833</w:t>
      </w:r>
      <w:r w:rsidR="00741CB3" w:rsidRPr="00741CB3">
        <w:rPr>
          <w:rFonts w:ascii="Times New Roman" w:hAnsi="Times New Roman" w:cs="Times New Roman"/>
          <w:sz w:val="24"/>
        </w:rPr>
        <w:t xml:space="preserve"> w</w:t>
      </w:r>
      <w:r>
        <w:rPr>
          <w:rFonts w:ascii="Times New Roman" w:hAnsi="Times New Roman" w:cs="Times New Roman"/>
          <w:sz w:val="24"/>
        </w:rPr>
        <w:t>h</w:t>
      </w:r>
      <w:r w:rsidR="00741CB3" w:rsidRPr="00741CB3">
        <w:rPr>
          <w:rFonts w:ascii="Times New Roman" w:hAnsi="Times New Roman" w:cs="Times New Roman"/>
          <w:sz w:val="24"/>
        </w:rPr>
        <w:t>ere trainable.</w:t>
      </w:r>
    </w:p>
    <w:p w:rsidR="008616B1" w:rsidRDefault="008616B1" w:rsidP="00695EBF">
      <w:pPr>
        <w:pStyle w:val="Heading2"/>
        <w:rPr>
          <w:rStyle w:val="token"/>
          <w:rFonts w:eastAsiaTheme="majorEastAsia"/>
        </w:rPr>
      </w:pPr>
      <w:r>
        <w:rPr>
          <w:rStyle w:val="token"/>
          <w:rFonts w:eastAsiaTheme="majorEastAsia"/>
        </w:rPr>
        <w:t>2.4 Training Protocol</w:t>
      </w:r>
    </w:p>
    <w:p w:rsidR="008616B1" w:rsidRPr="00503E3D" w:rsidRDefault="008616B1" w:rsidP="0095366C">
      <w:pPr>
        <w:pStyle w:val="HTMLPreformatted"/>
        <w:spacing w:line="360" w:lineRule="auto"/>
        <w:jc w:val="both"/>
        <w:rPr>
          <w:rFonts w:ascii="Times New Roman" w:hAnsi="Times New Roman" w:cs="Times New Roman"/>
          <w:sz w:val="24"/>
        </w:rPr>
      </w:pPr>
      <w:r w:rsidRPr="00503E3D">
        <w:rPr>
          <w:rFonts w:ascii="Times New Roman" w:hAnsi="Times New Roman" w:cs="Times New Roman"/>
          <w:sz w:val="24"/>
        </w:rPr>
        <w:t>The dataset was split into training (80%, n=800) and testing (20%, n=200) sets stratified by class</w:t>
      </w:r>
      <w:r w:rsidR="00741CB3">
        <w:rPr>
          <w:rFonts w:ascii="Times New Roman" w:hAnsi="Times New Roman" w:cs="Times New Roman"/>
          <w:sz w:val="24"/>
        </w:rPr>
        <w:t xml:space="preserve"> to maintain class balance</w:t>
      </w:r>
      <w:r w:rsidRPr="00503E3D">
        <w:rPr>
          <w:rFonts w:ascii="Times New Roman" w:hAnsi="Times New Roman" w:cs="Times New Roman"/>
          <w:sz w:val="24"/>
        </w:rPr>
        <w:t xml:space="preserve">. Training employed a two-phase </w:t>
      </w:r>
      <w:r w:rsidR="00741CB3">
        <w:rPr>
          <w:rFonts w:ascii="Times New Roman" w:hAnsi="Times New Roman" w:cs="Times New Roman"/>
          <w:sz w:val="24"/>
        </w:rPr>
        <w:t xml:space="preserve">transfer learning </w:t>
      </w:r>
      <w:r w:rsidRPr="00503E3D">
        <w:rPr>
          <w:rFonts w:ascii="Times New Roman" w:hAnsi="Times New Roman" w:cs="Times New Roman"/>
          <w:sz w:val="24"/>
        </w:rPr>
        <w:t>approach</w:t>
      </w:r>
      <w:r w:rsidR="00741CB3">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{"citationItems":[{"id":"ITEM-1","itemData":{"abstract":"Many deep neural networks trained on natural images exhibit a curious phenomenon in common: on the first layer they learn features similar to Gabor filters and color blobs. Such first-layer features appear not to be specific to a particular dataset or task, but general in that they are applicable to many datasets and tasks. Features must eventually transition from general to specific by the last layer of the network, but this transition has not been studied extensively. In this paper we experimentally quantify the generality versus specificity of neurons in each layer of a deep convolutional neural network and report a few surprising results. Trans-ferability is negatively affected by two distinct issues: (1) the specialization of higher layer neurons to their original task at the expense of performance on the target task, which was expected, and (2) optimization difficulties related to splitting networks between co-adapted neurons, which was not expected. In an example network trained on ImageNet, we demonstrate that either of these two issues may dominate, depending on whether features are transferred from the bottom, middle, or top of the network. We also document that the transferability of features decreases as the distance between the base task and target task increases, but that transferring features even from distant tasks can be better than using random features. A final surprising result is that initializing a network with transferred features from almost any number of layers can produce a boost to generalization that lingers even after fine-tuning to the target dataset.","author":[{"dropping-particle":"","family":"Yosinski","given":"Jason","non-dropping-particle":"","parse-names":false,"suffix":""},{"dropping-particle":"","family":"Clune","given":"Jeff","non-dropping-particle":"","parse-names":false,"suffix":""},{"dropping-particle":"","family":"Bengio","given":"Yoshua","non-dropping-particle":"","parse-names":false,"suffix":""},{"dropping-particle":"","family":"Lipson","given":"Hod","non-dropping-particle":"","parse-names":false,"suffix":""}],"container-title":"Advances in Neural Information Processing Systems","id":"ITEM-1","issued":{"date-parts":[["2014"]]},"title":"How transferable are features in deep neural networks?","type":"article-journal","volume":"27"},"uris":["http://www.mendeley.com/documents/?uuid=8d3907ff-aab8-33df-a887-4ab081544117"]}],"mendeley":{"formattedCitation":"(Yosinski et al., 2014)","plainTextFormattedCitation":"(Yosinski et al., 2014)","previouslyFormattedCitation":"(Yosinski et al., 2014)"},"properties":{"noteIndex":0},"schema":"https://github.com/citation-style-language/schema/raw/master/csl-citation.json"}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(Yosinski et al., 2014)</w:t>
      </w:r>
      <w:r w:rsidR="00AC279C">
        <w:rPr>
          <w:rFonts w:ascii="Times New Roman" w:hAnsi="Times New Roman" w:cs="Times New Roman"/>
          <w:sz w:val="24"/>
        </w:rPr>
        <w:fldChar w:fldCharType="end"/>
      </w:r>
      <w:r w:rsidRPr="00503E3D">
        <w:rPr>
          <w:rFonts w:ascii="Times New Roman" w:hAnsi="Times New Roman" w:cs="Times New Roman"/>
          <w:sz w:val="24"/>
        </w:rPr>
        <w:t>:</w:t>
      </w:r>
    </w:p>
    <w:p w:rsidR="008616B1" w:rsidRPr="00741CB3" w:rsidRDefault="00503E3D" w:rsidP="0095366C">
      <w:pPr>
        <w:pStyle w:val="HTMLPreformatted"/>
        <w:numPr>
          <w:ilvl w:val="0"/>
          <w:numId w:val="4"/>
        </w:numPr>
        <w:spacing w:line="360" w:lineRule="auto"/>
        <w:jc w:val="both"/>
        <w:rPr>
          <w:rFonts w:ascii="Times New Roman" w:hAnsi="Times New Roman" w:cs="Times New Roman"/>
          <w:sz w:val="24"/>
        </w:rPr>
      </w:pPr>
      <w:r w:rsidRPr="008B6F3D">
        <w:rPr>
          <w:rStyle w:val="token"/>
          <w:rFonts w:ascii="Times New Roman" w:eastAsiaTheme="majorEastAsia" w:hAnsi="Times New Roman" w:cs="Times New Roman"/>
          <w:sz w:val="24"/>
        </w:rPr>
        <w:t>Phase 1 (</w:t>
      </w:r>
      <w:r w:rsidR="00741CB3" w:rsidRPr="008B6F3D">
        <w:rPr>
          <w:rFonts w:ascii="Times New Roman" w:eastAsiaTheme="majorEastAsia" w:hAnsi="Times New Roman" w:cs="Times New Roman"/>
          <w:sz w:val="24"/>
        </w:rPr>
        <w:t>Head Training - 10 epochs</w:t>
      </w:r>
      <w:r w:rsidRPr="008B6F3D">
        <w:rPr>
          <w:rStyle w:val="token"/>
          <w:rFonts w:ascii="Times New Roman" w:eastAsiaTheme="majorEastAsia" w:hAnsi="Times New Roman" w:cs="Times New Roman"/>
          <w:sz w:val="24"/>
        </w:rPr>
        <w:t>):</w:t>
      </w:r>
      <w:r w:rsidR="008616B1" w:rsidRPr="00741CB3">
        <w:rPr>
          <w:rFonts w:ascii="Times New Roman" w:hAnsi="Times New Roman" w:cs="Times New Roman"/>
          <w:sz w:val="24"/>
        </w:rPr>
        <w:t xml:space="preserve"> </w:t>
      </w:r>
      <w:r w:rsidR="00741CB3" w:rsidRPr="00741CB3">
        <w:rPr>
          <w:rFonts w:ascii="Times New Roman" w:hAnsi="Times New Roman" w:cs="Times New Roman"/>
          <w:sz w:val="24"/>
        </w:rPr>
        <w:t>The base model layers were frozen, and only the classification head was trained with a learning rate of 1 × 10⁻⁴.</w:t>
      </w:r>
    </w:p>
    <w:p w:rsidR="008616B1" w:rsidRPr="008B066C" w:rsidRDefault="00503E3D" w:rsidP="0095366C">
      <w:pPr>
        <w:pStyle w:val="HTMLPreformatted"/>
        <w:numPr>
          <w:ilvl w:val="0"/>
          <w:numId w:val="4"/>
        </w:numPr>
        <w:spacing w:line="360" w:lineRule="auto"/>
        <w:jc w:val="both"/>
        <w:rPr>
          <w:rFonts w:ascii="Times New Roman" w:hAnsi="Times New Roman" w:cs="Times New Roman"/>
          <w:sz w:val="24"/>
        </w:rPr>
      </w:pPr>
      <w:r w:rsidRPr="008B6F3D">
        <w:rPr>
          <w:rStyle w:val="token"/>
          <w:rFonts w:ascii="Times New Roman" w:eastAsiaTheme="majorEastAsia" w:hAnsi="Times New Roman" w:cs="Times New Roman"/>
          <w:sz w:val="24"/>
        </w:rPr>
        <w:t>Phase 2 (</w:t>
      </w:r>
      <w:r w:rsidR="00741CB3" w:rsidRPr="008B6F3D">
        <w:rPr>
          <w:rFonts w:ascii="Times New Roman" w:eastAsiaTheme="majorEastAsia" w:hAnsi="Times New Roman" w:cs="Times New Roman"/>
          <w:sz w:val="24"/>
        </w:rPr>
        <w:t>Fine-tuning - 30 epochs</w:t>
      </w:r>
      <w:r w:rsidRPr="008B6F3D">
        <w:rPr>
          <w:rStyle w:val="token"/>
          <w:rFonts w:ascii="Times New Roman" w:eastAsiaTheme="majorEastAsia" w:hAnsi="Times New Roman" w:cs="Times New Roman"/>
          <w:sz w:val="24"/>
        </w:rPr>
        <w:t>):</w:t>
      </w:r>
      <w:r w:rsidR="008616B1" w:rsidRPr="00741CB3">
        <w:rPr>
          <w:rFonts w:ascii="Times New Roman" w:hAnsi="Times New Roman" w:cs="Times New Roman"/>
          <w:sz w:val="24"/>
        </w:rPr>
        <w:t xml:space="preserve"> </w:t>
      </w:r>
      <w:r w:rsidR="008B066C" w:rsidRPr="008B066C">
        <w:rPr>
          <w:rFonts w:ascii="Times New Roman" w:hAnsi="Times New Roman" w:cs="Times New Roman"/>
          <w:sz w:val="24"/>
        </w:rPr>
        <w:t>The top 10</w:t>
      </w:r>
      <w:r w:rsidR="0095366C">
        <w:rPr>
          <w:rFonts w:ascii="Times New Roman" w:hAnsi="Times New Roman" w:cs="Times New Roman"/>
          <w:sz w:val="24"/>
        </w:rPr>
        <w:t xml:space="preserve">0 layers of the base model were </w:t>
      </w:r>
      <w:r w:rsidR="008B066C" w:rsidRPr="008B066C">
        <w:rPr>
          <w:rFonts w:ascii="Times New Roman" w:hAnsi="Times New Roman" w:cs="Times New Roman"/>
          <w:sz w:val="24"/>
        </w:rPr>
        <w:t>unfrozen, and all layers were trained with a reduced learning rate of 1 × 10⁻⁵.</w:t>
      </w:r>
    </w:p>
    <w:p w:rsidR="008B066C" w:rsidRPr="00503E3D" w:rsidRDefault="008B066C" w:rsidP="0095366C">
      <w:pPr>
        <w:pStyle w:val="HTMLPreformatted"/>
        <w:spacing w:line="360" w:lineRule="auto"/>
        <w:jc w:val="both"/>
        <w:rPr>
          <w:rFonts w:ascii="Times New Roman" w:hAnsi="Times New Roman" w:cs="Times New Roman"/>
          <w:sz w:val="24"/>
        </w:rPr>
      </w:pPr>
      <w:r w:rsidRPr="008B066C">
        <w:rPr>
          <w:rFonts w:ascii="Times New Roman" w:hAnsi="Times New Roman" w:cs="Times New Roman"/>
          <w:sz w:val="24"/>
        </w:rPr>
        <w:t>Early stopping monitored validation AUC with p</w:t>
      </w:r>
      <w:r w:rsidR="0095366C">
        <w:rPr>
          <w:rFonts w:ascii="Times New Roman" w:hAnsi="Times New Roman" w:cs="Times New Roman"/>
          <w:sz w:val="24"/>
        </w:rPr>
        <w:t xml:space="preserve">atience of 7 epochs to prevent </w:t>
      </w:r>
      <w:r w:rsidRPr="008B066C">
        <w:rPr>
          <w:rFonts w:ascii="Times New Roman" w:hAnsi="Times New Roman" w:cs="Times New Roman"/>
          <w:sz w:val="24"/>
        </w:rPr>
        <w:t xml:space="preserve">overfitting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{"citationItems":[{"id":"ITEM-1","itemData":{"DOI":"10.1007/3-540-49430-8_3","ISBN":"978-3-540-49430-0","abstract":"Validation can be used to detect when overfitting starts during supervised training of a neural network; training is then stopped before convergence to avoid the overfitting (“early stopping”). The exact criterion used for validation-based early stopping,...","author":[{"dropping-particle":"","family":"Prechelt","given":"Lutz","non-dropping-particle":"","parse-names":false,"suffix":""}],"id":"ITEM-1","issued":{"date-parts":[["1998"]]},"page":"55-69","publisher":"Springer, Berlin, Heidelberg","title":"Early Stopping - But When?","type":"article-journal"},"uris":["http://www.mendeley.com/documents/?uuid=a5004806-e456-327b-b47b-b7558acb8012"]}],"mendeley":{"formattedCitation":"(Prechelt, 1998)","plainTextFormattedCitation":"(Prechelt, 1998)","previouslyFormattedCitation":"(Prechelt, 1998)"},"properties":{"noteIndex":0},"schema":"https://github.com/citation-style-language/schema/raw/master/csl-citation.json"}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(Prechelt, 1998)</w:t>
      </w:r>
      <w:r w:rsidR="00AC279C">
        <w:rPr>
          <w:rFonts w:ascii="Times New Roman" w:hAnsi="Times New Roman" w:cs="Times New Roman"/>
          <w:sz w:val="24"/>
        </w:rPr>
        <w:fldChar w:fldCharType="end"/>
      </w:r>
      <w:r w:rsidRPr="008B066C">
        <w:rPr>
          <w:rFonts w:ascii="Times New Roman" w:hAnsi="Times New Roman" w:cs="Times New Roman"/>
          <w:sz w:val="24"/>
        </w:rPr>
        <w:t>. The model achiev</w:t>
      </w:r>
      <w:r w:rsidR="0095366C">
        <w:rPr>
          <w:rFonts w:ascii="Times New Roman" w:hAnsi="Times New Roman" w:cs="Times New Roman"/>
          <w:sz w:val="24"/>
        </w:rPr>
        <w:t xml:space="preserve">ing the highest validation AUC </w:t>
      </w:r>
      <w:r w:rsidRPr="008B066C">
        <w:rPr>
          <w:rFonts w:ascii="Times New Roman" w:hAnsi="Times New Roman" w:cs="Times New Roman"/>
          <w:sz w:val="24"/>
        </w:rPr>
        <w:t>was saved as the final model. The Adam optim</w:t>
      </w:r>
      <w:r w:rsidR="0095366C">
        <w:rPr>
          <w:rFonts w:ascii="Times New Roman" w:hAnsi="Times New Roman" w:cs="Times New Roman"/>
          <w:sz w:val="24"/>
        </w:rPr>
        <w:t xml:space="preserve">izer was used for its adaptive </w:t>
      </w:r>
      <w:r w:rsidRPr="008B066C">
        <w:rPr>
          <w:rFonts w:ascii="Times New Roman" w:hAnsi="Times New Roman" w:cs="Times New Roman"/>
          <w:sz w:val="24"/>
        </w:rPr>
        <w:t xml:space="preserve">learning rate properties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norm.","author":[{"dropping-particle":"","family":"Kingma","given":"Diederik P.","non-dropping-particle":"","parse-names":false,"suffix":""},{"dropping-particle":"","family":"Ba","given":"Jimmy Lei","non-dropping-particle":"","parse-names":false,"suffix":""}],"container-title":"3rd International Conference on Learning Representations, ICLR 2015 - Conference Track Proceedings","id":"ITEM-1","issued":{"date-parts":[["2014","12","22"]]},"publisher":"International Conference on Learning Representations, ICLR","title":"Adam: A Method for Stochastic Optimization","type":"article-journal"},"uris":["http://www.mendeley.com/documents/?uuid=732678d4-637a-31e2-bf2c-c10de39f5f16"]}],"mendeley":{"formattedCitation":"(Kingma &amp; Ba, 2014)","plainTextFormattedCitation":"(Kingma &amp; Ba, 2014)","previouslyFormattedCitation":"(Kingma &amp; Ba, 2014)"},"properties":{"noteIndex":0},"schema":"https://github.com/citation-style-language/schema/raw/master/csl-citation.json"}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(Kingma &amp; Ba, 2014)</w:t>
      </w:r>
      <w:r w:rsidR="00AC279C">
        <w:rPr>
          <w:rFonts w:ascii="Times New Roman" w:hAnsi="Times New Roman" w:cs="Times New Roman"/>
          <w:sz w:val="24"/>
        </w:rPr>
        <w:fldChar w:fldCharType="end"/>
      </w:r>
      <w:r w:rsidRPr="008B066C">
        <w:rPr>
          <w:rFonts w:ascii="Times New Roman" w:hAnsi="Times New Roman" w:cs="Times New Roman"/>
          <w:sz w:val="24"/>
        </w:rPr>
        <w:t>.</w:t>
      </w:r>
    </w:p>
    <w:p w:rsidR="00503E3D" w:rsidRDefault="00503E3D" w:rsidP="00695EBF">
      <w:pPr>
        <w:pStyle w:val="Heading2"/>
      </w:pPr>
      <w:r>
        <w:rPr>
          <w:rStyle w:val="token"/>
          <w:rFonts w:eastAsiaTheme="majorEastAsia"/>
        </w:rPr>
        <w:t>2.5 Explainability with Grad-CAM</w:t>
      </w:r>
    </w:p>
    <w:p w:rsidR="00BF1173" w:rsidRPr="00BF1173" w:rsidRDefault="00B42A60" w:rsidP="00953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42A60">
        <w:rPr>
          <w:rFonts w:ascii="Times New Roman" w:eastAsia="Times New Roman" w:hAnsi="Times New Roman" w:cs="Times New Roman"/>
          <w:sz w:val="24"/>
          <w:szCs w:val="24"/>
        </w:rPr>
        <w:t xml:space="preserve">Grad-CAM approach has been used for creating attention maps that explain the </w:t>
      </w:r>
      <w:r w:rsidRPr="00B42A60">
        <w:rPr>
          <w:rFonts w:ascii="Times New Roman" w:eastAsia="Times New Roman" w:hAnsi="Times New Roman" w:cs="Times New Roman"/>
          <w:sz w:val="24"/>
          <w:szCs w:val="24"/>
        </w:rPr>
        <w:lastRenderedPageBreak/>
        <w:t>rationale behind the model’s decision making process</w:t>
      </w:r>
      <w:r>
        <w:rPr>
          <w:rFonts w:ascii="Times New Roman" w:eastAsia="Times New Roman" w:hAnsi="Times New Roman" w:cs="Times New Roman"/>
          <w:sz w:val="24"/>
          <w:szCs w:val="24"/>
        </w:rPr>
        <w:t xml:space="preserve"> </w:t>
      </w:r>
      <w:r w:rsidR="00AC279C">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{"citationItems":[{"id":"ITEM-1","itemData":{"DOI":"10.1007/S11263-019-01228-7/FIGURES/21","ISSN":"15731405","abstract":"We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container-title":"International Journal of Computer Vision","id":"ITEM-1","issue":"2","issued":{"date-parts":[["2020","2","1"]]},"page":"336-359","publisher":"Springer","title":"Grad-CAM: Visual Explanations from Deep Networks via Gradient-Based Localization","type":"article-journal","volume":"128"},"uris":["http://www.mendeley.com/documents/?uuid=5af1885e-465e-3d71-9d40-5b71ed87cafb"]}],"mendeley":{"formattedCitation":"(Selvaraju et al., 2020)","plainTextFormattedCitation":"(Selvaraju et al., 2020)","previouslyFormattedCitation":"(Selvaraju et al., 2020)"},"properties":{"noteIndex":0},"schema":"https://github.com/citation-style-language/schema/raw/master/csl-citation.json"}</w:instrText>
      </w:r>
      <w:r w:rsidR="00AC279C">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(Selvaraju et al., 2020)</w:t>
      </w:r>
      <w:r w:rsidR="00AC279C">
        <w:rPr>
          <w:rFonts w:ascii="Times New Roman" w:eastAsia="Times New Roman" w:hAnsi="Times New Roman" w:cs="Times New Roman"/>
          <w:sz w:val="24"/>
          <w:szCs w:val="24"/>
        </w:rPr>
        <w:fldChar w:fldCharType="end"/>
      </w:r>
      <w:r w:rsidR="00BF1173" w:rsidRPr="00BF1173">
        <w:rPr>
          <w:rFonts w:ascii="Times New Roman" w:eastAsia="Times New Roman" w:hAnsi="Times New Roman" w:cs="Times New Roman"/>
          <w:sz w:val="24"/>
          <w:szCs w:val="24"/>
        </w:rPr>
        <w:t xml:space="preserve">. </w:t>
      </w:r>
      <w:r w:rsidRPr="00B42A60">
        <w:rPr>
          <w:rFonts w:ascii="Times New Roman" w:eastAsia="Times New Roman" w:hAnsi="Times New Roman" w:cs="Times New Roman"/>
          <w:sz w:val="24"/>
          <w:szCs w:val="24"/>
        </w:rPr>
        <w:t>Grad-CAM creates gradient-based localization maps through computation of gradients that flow from the last con</w:t>
      </w:r>
      <w:r>
        <w:rPr>
          <w:rFonts w:ascii="Times New Roman" w:eastAsia="Times New Roman" w:hAnsi="Times New Roman" w:cs="Times New Roman"/>
          <w:sz w:val="24"/>
          <w:szCs w:val="24"/>
        </w:rPr>
        <w:t>volutional layer of DenseNet121</w:t>
      </w:r>
      <w:r w:rsidR="00BF1173" w:rsidRPr="00BF1173">
        <w:rPr>
          <w:rFonts w:ascii="Times New Roman" w:eastAsia="Times New Roman" w:hAnsi="Times New Roman" w:cs="Times New Roman"/>
          <w:sz w:val="24"/>
          <w:szCs w:val="24"/>
        </w:rPr>
        <w:t xml:space="preserve">. </w:t>
      </w:r>
      <w:r w:rsidRPr="00B42A60">
        <w:rPr>
          <w:rFonts w:ascii="Times New Roman" w:eastAsia="Times New Roman" w:hAnsi="Times New Roman" w:cs="Times New Roman"/>
          <w:sz w:val="24"/>
          <w:szCs w:val="24"/>
        </w:rPr>
        <w:t>Heatmaps have been created by superimposing the localization map over original images using the Jet color map. Red denotes high attention, whi</w:t>
      </w:r>
      <w:r>
        <w:rPr>
          <w:rFonts w:ascii="Times New Roman" w:eastAsia="Times New Roman" w:hAnsi="Times New Roman" w:cs="Times New Roman"/>
          <w:sz w:val="24"/>
          <w:szCs w:val="24"/>
        </w:rPr>
        <w:t>le blue indicates low attention</w:t>
      </w:r>
      <w:r w:rsidR="00BF1173" w:rsidRPr="00BF1173">
        <w:rPr>
          <w:rFonts w:ascii="Times New Roman" w:eastAsia="Times New Roman" w:hAnsi="Times New Roman" w:cs="Times New Roman"/>
          <w:sz w:val="24"/>
          <w:szCs w:val="24"/>
        </w:rPr>
        <w:t>.</w:t>
      </w:r>
    </w:p>
    <w:p w:rsidR="00503E3D" w:rsidRDefault="00BF1173" w:rsidP="00695EBF">
      <w:pPr>
        <w:pStyle w:val="Heading2"/>
        <w:rPr>
          <w:rStyle w:val="token"/>
          <w:rFonts w:eastAsiaTheme="majorEastAsia"/>
        </w:rPr>
      </w:pPr>
      <w:r>
        <w:rPr>
          <w:rStyle w:val="token"/>
          <w:rFonts w:eastAsiaTheme="majorEastAsia"/>
        </w:rPr>
        <w:t xml:space="preserve"> </w:t>
      </w:r>
      <w:r w:rsidR="00503E3D">
        <w:rPr>
          <w:rStyle w:val="token"/>
          <w:rFonts w:eastAsiaTheme="majorEastAsia"/>
        </w:rPr>
        <w:t>2.6 Evaluation Metrics</w:t>
      </w:r>
    </w:p>
    <w:p w:rsidR="00503E3D" w:rsidRPr="00503E3D" w:rsidRDefault="00503E3D" w:rsidP="0095366C">
      <w:pPr>
        <w:pStyle w:val="HTMLPreformatted"/>
        <w:spacing w:line="360" w:lineRule="auto"/>
        <w:jc w:val="both"/>
        <w:rPr>
          <w:rFonts w:ascii="Times New Roman" w:hAnsi="Times New Roman" w:cs="Times New Roman"/>
          <w:sz w:val="24"/>
        </w:rPr>
      </w:pPr>
      <w:r w:rsidRPr="00503E3D">
        <w:rPr>
          <w:rFonts w:ascii="Times New Roman" w:hAnsi="Times New Roman" w:cs="Times New Roman"/>
          <w:sz w:val="24"/>
        </w:rPr>
        <w:t>Model performance was assessed using</w:t>
      </w:r>
      <w:r w:rsidR="00BF1173">
        <w:rPr>
          <w:rFonts w:ascii="Times New Roman" w:hAnsi="Times New Roman" w:cs="Times New Roman"/>
          <w:sz w:val="24"/>
        </w:rPr>
        <w:t xml:space="preserve"> </w:t>
      </w:r>
      <w:r w:rsidR="00BF1173" w:rsidRPr="00BF1173">
        <w:rPr>
          <w:rFonts w:ascii="Times New Roman" w:hAnsi="Times New Roman" w:cs="Times New Roman"/>
          <w:sz w:val="24"/>
        </w:rPr>
        <w:t xml:space="preserve">standard medical imaging classification metrics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{"citationItems":[{"id":"ITEM-1","itemData":{"DOI":"10.1016/J.IPM.2009.03.002","ISSN":"0306-4573","abstract":"This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 © 2009 Elsevier Ltd. All rights reserved.","author":[{"dropping-particle":"","family":"Sokolova","given":"Marina","non-dropping-particle":"","parse-names":false,"suffix":""},{"dropping-particle":"","family":"Lapalme","given":"Guy","non-dropping-particle":"","parse-names":false,"suffix":""}],"container-title":"Information Processing &amp; Management","id":"ITEM-1","issue":"4","issued":{"date-parts":[["2009","7","1"]]},"page":"427-437","publisher":"Pergamon","title":"A systematic analysis of performance measures for classification tasks","type":"article-journal","volume":"45"},"uris":["http://www.mendeley.com/documents/?uuid=05ab9517-fcad-30df-b65f-c601117fd60c"]}],"mendeley":{"formattedCitation":"(Sokolova &amp; Lapalme, 2009)","plainTextFormattedCitation":"(Sokolova &amp; Lapalme, 2009)","previouslyFormattedCitation":"(Sokolova &amp; Lapalme, 2009)"},"properties":{"noteIndex":0},"schema":"https://github.com/citation-style-language/schema/raw/master/csl-citation.json"}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(Sokolova &amp; Lapalme, 2009)</w:t>
      </w:r>
      <w:r w:rsidR="00AC279C">
        <w:rPr>
          <w:rFonts w:ascii="Times New Roman" w:hAnsi="Times New Roman" w:cs="Times New Roman"/>
          <w:sz w:val="24"/>
        </w:rPr>
        <w:fldChar w:fldCharType="end"/>
      </w:r>
      <w:r w:rsidRPr="00503E3D">
        <w:rPr>
          <w:rFonts w:ascii="Times New Roman" w:hAnsi="Times New Roman" w:cs="Times New Roman"/>
          <w:sz w:val="24"/>
        </w:rPr>
        <w:t>:</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Area Under the ROC Curve (AUC-ROC)</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Accuracy</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Sensitivity (Recall)</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sidRPr="00503E3D">
        <w:rPr>
          <w:rFonts w:ascii="Times New Roman" w:hAnsi="Times New Roman" w:cs="Times New Roman"/>
          <w:sz w:val="24"/>
        </w:rPr>
        <w:t>Specificity</w:t>
      </w:r>
    </w:p>
    <w:p w:rsidR="00503E3D" w:rsidRPr="00503E3D" w:rsidRDefault="00503E3D" w:rsidP="00BF1173">
      <w:pPr>
        <w:pStyle w:val="HTMLPreformatted"/>
        <w:numPr>
          <w:ilvl w:val="0"/>
          <w:numId w:val="5"/>
        </w:numPr>
        <w:spacing w:line="360" w:lineRule="auto"/>
        <w:rPr>
          <w:rFonts w:ascii="Times New Roman" w:hAnsi="Times New Roman" w:cs="Times New Roman"/>
          <w:sz w:val="24"/>
        </w:rPr>
      </w:pPr>
      <w:r>
        <w:rPr>
          <w:rFonts w:ascii="Times New Roman" w:hAnsi="Times New Roman" w:cs="Times New Roman"/>
          <w:sz w:val="24"/>
        </w:rPr>
        <w:t>Precision</w:t>
      </w:r>
    </w:p>
    <w:p w:rsidR="00503E3D" w:rsidRPr="00503E3D" w:rsidRDefault="00503E3D" w:rsidP="0095366C">
      <w:pPr>
        <w:pStyle w:val="HTMLPreformatted"/>
        <w:spacing w:line="360" w:lineRule="auto"/>
        <w:jc w:val="both"/>
        <w:rPr>
          <w:rFonts w:ascii="Times New Roman" w:hAnsi="Times New Roman" w:cs="Times New Roman"/>
          <w:sz w:val="24"/>
        </w:rPr>
      </w:pPr>
      <w:r w:rsidRPr="00503E3D">
        <w:rPr>
          <w:rFonts w:ascii="Times New Roman" w:hAnsi="Times New Roman" w:cs="Times New Roman"/>
          <w:sz w:val="24"/>
        </w:rPr>
        <w:t xml:space="preserve">Confidence intervals (95%) were calculated using bootstrapping with 1000 </w:t>
      </w:r>
      <w:r w:rsidR="00BF1173" w:rsidRPr="00503E3D">
        <w:rPr>
          <w:rFonts w:ascii="Times New Roman" w:hAnsi="Times New Roman" w:cs="Times New Roman"/>
          <w:sz w:val="24"/>
        </w:rPr>
        <w:t>I</w:t>
      </w:r>
      <w:r w:rsidRPr="00503E3D">
        <w:rPr>
          <w:rFonts w:ascii="Times New Roman" w:hAnsi="Times New Roman" w:cs="Times New Roman"/>
          <w:sz w:val="24"/>
        </w:rPr>
        <w:t>terations</w:t>
      </w:r>
      <w:r w:rsidR="00BF1173">
        <w:rPr>
          <w:rFonts w:ascii="Times New Roman" w:hAnsi="Times New Roman" w:cs="Times New Roman"/>
          <w:sz w:val="24"/>
        </w:rPr>
        <w:t xml:space="preserve"> </w:t>
      </w:r>
      <w:r w:rsidR="00BF1173" w:rsidRPr="00BF1173">
        <w:rPr>
          <w:rFonts w:ascii="Times New Roman" w:hAnsi="Times New Roman" w:cs="Times New Roman"/>
          <w:sz w:val="24"/>
        </w:rPr>
        <w:t>(Efron &amp; Tibshirani, 1994)</w:t>
      </w:r>
      <w:r w:rsidRPr="00503E3D">
        <w:rPr>
          <w:rFonts w:ascii="Times New Roman" w:hAnsi="Times New Roman" w:cs="Times New Roman"/>
          <w:sz w:val="24"/>
        </w:rPr>
        <w:t>.</w:t>
      </w:r>
    </w:p>
    <w:p w:rsidR="00503E3D" w:rsidRPr="008B6F3D" w:rsidRDefault="00C13908" w:rsidP="00E31806">
      <w:pPr>
        <w:pStyle w:val="Heading1"/>
      </w:pPr>
      <w:r>
        <w:rPr>
          <w:rStyle w:val="Strong"/>
          <w:b/>
          <w:bCs w:val="0"/>
        </w:rPr>
        <w:t xml:space="preserve">3. </w:t>
      </w:r>
      <w:r w:rsidR="00503E3D" w:rsidRPr="008B6F3D">
        <w:rPr>
          <w:rStyle w:val="Strong"/>
          <w:b/>
          <w:bCs w:val="0"/>
        </w:rPr>
        <w:t>RESULTS</w:t>
      </w:r>
    </w:p>
    <w:p w:rsidR="00B5435E" w:rsidRDefault="00B5435E" w:rsidP="00695EBF">
      <w:pPr>
        <w:pStyle w:val="Heading2"/>
      </w:pPr>
      <w:r>
        <w:rPr>
          <w:rStyle w:val="token"/>
          <w:rFonts w:eastAsiaTheme="majorEastAsia"/>
        </w:rPr>
        <w:t>3.1 Model Performance</w:t>
      </w:r>
    </w:p>
    <w:p w:rsidR="00B5435E" w:rsidRPr="00B5435E" w:rsidRDefault="00B5435E" w:rsidP="0095366C">
      <w:pPr>
        <w:pStyle w:val="HTMLPreformatted"/>
        <w:spacing w:line="360" w:lineRule="auto"/>
        <w:jc w:val="both"/>
        <w:rPr>
          <w:rFonts w:ascii="Times New Roman" w:hAnsi="Times New Roman" w:cs="Times New Roman"/>
          <w:sz w:val="24"/>
        </w:rPr>
      </w:pPr>
      <w:r w:rsidRPr="00B5435E">
        <w:rPr>
          <w:rFonts w:ascii="Times New Roman" w:hAnsi="Times New Roman" w:cs="Times New Roman"/>
          <w:sz w:val="24"/>
        </w:rPr>
        <w:t>The proposed DenseNet121-based model achieved excellent performance for pulmonary edema detection. Figure 1 shows the ROC curve with an AUC of 0.917 (95% CI: 0.89-0.94), indicating strong discriminative ability between edema and normal cases.</w:t>
      </w:r>
    </w:p>
    <w:p w:rsidR="008B6F3D" w:rsidRDefault="008B6F3D" w:rsidP="00695EBF">
      <w:pPr>
        <w:pStyle w:val="Heading2"/>
        <w:sectPr w:rsidR="008B6F3D" w:rsidSect="00496E7E">
          <w:type w:val="continuous"/>
          <w:pgSz w:w="11909" w:h="16834" w:code="9"/>
          <w:pgMar w:top="1440" w:right="1440" w:bottom="1440" w:left="1440" w:header="720" w:footer="720" w:gutter="0"/>
          <w:cols w:num="2" w:space="720"/>
          <w:docGrid w:linePitch="360"/>
        </w:sectPr>
      </w:pPr>
    </w:p>
    <w:p w:rsidR="00FB1B35" w:rsidRDefault="00B5435E" w:rsidP="00695EBF">
      <w:pPr>
        <w:pStyle w:val="Heading2"/>
      </w:pPr>
      <w:r>
        <w:rPr>
          <w:noProof/>
        </w:rPr>
        <w:drawing>
          <wp:inline distT="0" distB="0" distL="0" distR="0">
            <wp:extent cx="5733415" cy="36195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_curv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619500"/>
                    </a:xfrm>
                    <a:prstGeom prst="rect">
                      <a:avLst/>
                    </a:prstGeom>
                  </pic:spPr>
                </pic:pic>
              </a:graphicData>
            </a:graphic>
          </wp:inline>
        </w:drawing>
      </w:r>
    </w:p>
    <w:p w:rsidR="00503E3D" w:rsidRPr="00FB1B35" w:rsidRDefault="00FB1B35" w:rsidP="00BF1173">
      <w:pPr>
        <w:pStyle w:val="Caption"/>
        <w:spacing w:line="360" w:lineRule="auto"/>
        <w:jc w:val="center"/>
        <w:rPr>
          <w:color w:val="auto"/>
        </w:rPr>
      </w:pPr>
      <w:r w:rsidRPr="00FB1B35">
        <w:rPr>
          <w:color w:val="auto"/>
        </w:rPr>
        <w:t xml:space="preserve">Figure </w:t>
      </w:r>
      <w:r w:rsidRPr="00FB1B35">
        <w:rPr>
          <w:color w:val="auto"/>
        </w:rPr>
        <w:fldChar w:fldCharType="begin"/>
      </w:r>
      <w:r w:rsidRPr="00FB1B35">
        <w:rPr>
          <w:color w:val="auto"/>
        </w:rPr>
        <w:instrText xml:space="preserve"> SEQ Figure \* ARABIC </w:instrText>
      </w:r>
      <w:r w:rsidRPr="00FB1B35">
        <w:rPr>
          <w:color w:val="auto"/>
        </w:rPr>
        <w:fldChar w:fldCharType="separate"/>
      </w:r>
      <w:r w:rsidR="00337043">
        <w:rPr>
          <w:noProof/>
          <w:color w:val="auto"/>
        </w:rPr>
        <w:t>1</w:t>
      </w:r>
      <w:r w:rsidRPr="00FB1B35">
        <w:rPr>
          <w:color w:val="auto"/>
        </w:rPr>
        <w:fldChar w:fldCharType="end"/>
      </w:r>
      <w:r w:rsidRPr="00FB1B35">
        <w:rPr>
          <w:color w:val="auto"/>
        </w:rPr>
        <w:t xml:space="preserve"> : ROC Curve</w:t>
      </w:r>
    </w:p>
    <w:p w:rsidR="008B6F3D" w:rsidRDefault="008B6F3D" w:rsidP="00695EBF">
      <w:pPr>
        <w:pStyle w:val="Heading2"/>
        <w:rPr>
          <w:rStyle w:val="token"/>
          <w:rFonts w:eastAsiaTheme="majorEastAsia"/>
        </w:rPr>
        <w:sectPr w:rsidR="008B6F3D" w:rsidSect="008B6F3D">
          <w:type w:val="continuous"/>
          <w:pgSz w:w="11909" w:h="16834" w:code="9"/>
          <w:pgMar w:top="1440" w:right="1440" w:bottom="1440" w:left="1440" w:header="720" w:footer="720" w:gutter="0"/>
          <w:cols w:space="720"/>
          <w:docGrid w:linePitch="360"/>
        </w:sectPr>
      </w:pPr>
    </w:p>
    <w:p w:rsidR="00FB1B35" w:rsidRDefault="00FB1B35" w:rsidP="00695EBF">
      <w:pPr>
        <w:pStyle w:val="Heading2"/>
      </w:pPr>
      <w:r>
        <w:rPr>
          <w:rStyle w:val="token"/>
          <w:rFonts w:eastAsiaTheme="majorEastAsia"/>
        </w:rPr>
        <w:lastRenderedPageBreak/>
        <w:t>3.2 Classification Metrics</w:t>
      </w:r>
    </w:p>
    <w:p w:rsidR="00FB1B35" w:rsidRPr="00FB1B35" w:rsidRDefault="00FB1B35" w:rsidP="0095366C">
      <w:pPr>
        <w:pStyle w:val="HTMLPreformatted"/>
        <w:spacing w:line="360" w:lineRule="auto"/>
        <w:jc w:val="both"/>
        <w:rPr>
          <w:rFonts w:ascii="Times New Roman" w:hAnsi="Times New Roman" w:cs="Times New Roman"/>
          <w:sz w:val="24"/>
        </w:rPr>
      </w:pPr>
      <w:r w:rsidRPr="00FB1B35">
        <w:rPr>
          <w:rFonts w:ascii="Times New Roman" w:hAnsi="Times New Roman" w:cs="Times New Roman"/>
          <w:sz w:val="24"/>
        </w:rPr>
        <w:t xml:space="preserve">The confusion matrix (Figure 2) revealed 85% overall accuracy on the 200-image test set, with 88 true negatives, 12 false </w:t>
      </w:r>
      <w:r w:rsidRPr="00FB1B35">
        <w:rPr>
          <w:rFonts w:ascii="Times New Roman" w:hAnsi="Times New Roman" w:cs="Times New Roman"/>
          <w:sz w:val="24"/>
        </w:rPr>
        <w:t>positives, 18 false negatives, and 82 true positives. Calculated metrics include:</w:t>
      </w:r>
    </w:p>
    <w:p w:rsidR="00FB1B35" w:rsidRPr="00FB1B35" w:rsidRDefault="00FB1B35" w:rsidP="00BF1173">
      <w:pPr>
        <w:pStyle w:val="HTMLPreformatted"/>
        <w:numPr>
          <w:ilvl w:val="0"/>
          <w:numId w:val="7"/>
        </w:numPr>
        <w:spacing w:line="360" w:lineRule="auto"/>
        <w:rPr>
          <w:rFonts w:ascii="Times New Roman" w:hAnsi="Times New Roman" w:cs="Times New Roman"/>
          <w:sz w:val="24"/>
        </w:rPr>
      </w:pPr>
      <w:r w:rsidRPr="00FB1B35">
        <w:rPr>
          <w:rFonts w:ascii="Times New Roman" w:hAnsi="Times New Roman" w:cs="Times New Roman"/>
          <w:sz w:val="24"/>
        </w:rPr>
        <w:t>Sensitivity (Recall): 82.0%</w:t>
      </w:r>
    </w:p>
    <w:p w:rsidR="00FB1B35" w:rsidRPr="00FB1B35" w:rsidRDefault="00FB1B35" w:rsidP="00BF1173">
      <w:pPr>
        <w:pStyle w:val="HTMLPreformatted"/>
        <w:numPr>
          <w:ilvl w:val="0"/>
          <w:numId w:val="7"/>
        </w:numPr>
        <w:spacing w:line="360" w:lineRule="auto"/>
        <w:rPr>
          <w:rFonts w:ascii="Times New Roman" w:hAnsi="Times New Roman" w:cs="Times New Roman"/>
          <w:sz w:val="24"/>
        </w:rPr>
      </w:pPr>
      <w:r w:rsidRPr="00FB1B35">
        <w:rPr>
          <w:rFonts w:ascii="Times New Roman" w:hAnsi="Times New Roman" w:cs="Times New Roman"/>
          <w:sz w:val="24"/>
        </w:rPr>
        <w:t>Specificity: 88.0%</w:t>
      </w:r>
    </w:p>
    <w:p w:rsidR="00FB1B35" w:rsidRPr="00FB1B35" w:rsidRDefault="00FB1B35" w:rsidP="00BF1173">
      <w:pPr>
        <w:pStyle w:val="HTMLPreformatted"/>
        <w:numPr>
          <w:ilvl w:val="0"/>
          <w:numId w:val="7"/>
        </w:numPr>
        <w:spacing w:line="360" w:lineRule="auto"/>
        <w:rPr>
          <w:rFonts w:ascii="Times New Roman" w:hAnsi="Times New Roman" w:cs="Times New Roman"/>
          <w:sz w:val="24"/>
        </w:rPr>
      </w:pPr>
      <w:r w:rsidRPr="00FB1B35">
        <w:rPr>
          <w:rFonts w:ascii="Times New Roman" w:hAnsi="Times New Roman" w:cs="Times New Roman"/>
          <w:sz w:val="24"/>
        </w:rPr>
        <w:t>Precision: 87.2%</w:t>
      </w:r>
    </w:p>
    <w:p w:rsidR="008B6F3D" w:rsidRDefault="008B6F3D" w:rsidP="00BF1173">
      <w:pPr>
        <w:pStyle w:val="HTMLPreformatted"/>
        <w:keepNext/>
        <w:spacing w:line="360" w:lineRule="auto"/>
        <w:sectPr w:rsidR="008B6F3D" w:rsidSect="00496E7E">
          <w:type w:val="continuous"/>
          <w:pgSz w:w="11909" w:h="16834" w:code="9"/>
          <w:pgMar w:top="1440" w:right="1440" w:bottom="1440" w:left="1440" w:header="720" w:footer="720" w:gutter="0"/>
          <w:cols w:num="2" w:space="720"/>
          <w:docGrid w:linePitch="360"/>
        </w:sectPr>
      </w:pPr>
    </w:p>
    <w:p w:rsidR="00FB1B35" w:rsidRDefault="00FB1B35" w:rsidP="00BF1173">
      <w:pPr>
        <w:pStyle w:val="HTMLPreformatted"/>
        <w:keepNext/>
        <w:spacing w:line="360" w:lineRule="auto"/>
      </w:pPr>
      <w:r>
        <w:rPr>
          <w:rFonts w:ascii="Times New Roman" w:hAnsi="Times New Roman" w:cs="Times New Roman"/>
          <w:noProof/>
          <w:sz w:val="24"/>
        </w:rPr>
        <w:drawing>
          <wp:inline distT="0" distB="0" distL="0" distR="0">
            <wp:extent cx="4620260" cy="36004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usion_matri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0781" cy="3600856"/>
                    </a:xfrm>
                    <a:prstGeom prst="rect">
                      <a:avLst/>
                    </a:prstGeom>
                  </pic:spPr>
                </pic:pic>
              </a:graphicData>
            </a:graphic>
          </wp:inline>
        </w:drawing>
      </w:r>
    </w:p>
    <w:p w:rsidR="00FB1B35" w:rsidRPr="00FB1B35" w:rsidRDefault="00FB1B35" w:rsidP="00BF1173">
      <w:pPr>
        <w:pStyle w:val="Caption"/>
        <w:spacing w:line="360" w:lineRule="auto"/>
        <w:jc w:val="center"/>
        <w:rPr>
          <w:rFonts w:ascii="Times New Roman" w:hAnsi="Times New Roman" w:cs="Times New Roman"/>
          <w:color w:val="auto"/>
          <w:sz w:val="24"/>
        </w:rPr>
      </w:pPr>
      <w:r w:rsidRPr="00FB1B35">
        <w:rPr>
          <w:color w:val="auto"/>
        </w:rPr>
        <w:t xml:space="preserve">Figure </w:t>
      </w:r>
      <w:r w:rsidRPr="00FB1B35">
        <w:rPr>
          <w:color w:val="auto"/>
        </w:rPr>
        <w:fldChar w:fldCharType="begin"/>
      </w:r>
      <w:r w:rsidRPr="00FB1B35">
        <w:rPr>
          <w:color w:val="auto"/>
        </w:rPr>
        <w:instrText xml:space="preserve"> SEQ Figure \* ARABIC </w:instrText>
      </w:r>
      <w:r w:rsidRPr="00FB1B35">
        <w:rPr>
          <w:color w:val="auto"/>
        </w:rPr>
        <w:fldChar w:fldCharType="separate"/>
      </w:r>
      <w:r w:rsidR="00337043">
        <w:rPr>
          <w:noProof/>
          <w:color w:val="auto"/>
        </w:rPr>
        <w:t>2</w:t>
      </w:r>
      <w:r w:rsidRPr="00FB1B35">
        <w:rPr>
          <w:color w:val="auto"/>
        </w:rPr>
        <w:fldChar w:fldCharType="end"/>
      </w:r>
      <w:r w:rsidRPr="00FB1B35">
        <w:rPr>
          <w:color w:val="auto"/>
        </w:rPr>
        <w:t xml:space="preserve"> : confusion matrix</w:t>
      </w:r>
    </w:p>
    <w:p w:rsidR="000A3B3D" w:rsidRPr="000A3B3D" w:rsidRDefault="000A3B3D" w:rsidP="00BF1173">
      <w:pPr>
        <w:pStyle w:val="Caption"/>
        <w:keepNext/>
        <w:spacing w:line="360" w:lineRule="auto"/>
        <w:rPr>
          <w:color w:val="auto"/>
          <w:sz w:val="22"/>
        </w:rPr>
      </w:pPr>
      <w:r w:rsidRPr="000A3B3D">
        <w:rPr>
          <w:color w:val="auto"/>
          <w:sz w:val="22"/>
        </w:rPr>
        <w:t xml:space="preserve">Table </w:t>
      </w:r>
      <w:r w:rsidRPr="000A3B3D">
        <w:rPr>
          <w:color w:val="auto"/>
          <w:sz w:val="22"/>
        </w:rPr>
        <w:fldChar w:fldCharType="begin"/>
      </w:r>
      <w:r w:rsidRPr="000A3B3D">
        <w:rPr>
          <w:color w:val="auto"/>
          <w:sz w:val="22"/>
        </w:rPr>
        <w:instrText xml:space="preserve"> SEQ Table \* ARABIC </w:instrText>
      </w:r>
      <w:r w:rsidRPr="000A3B3D">
        <w:rPr>
          <w:color w:val="auto"/>
          <w:sz w:val="22"/>
        </w:rPr>
        <w:fldChar w:fldCharType="separate"/>
      </w:r>
      <w:r w:rsidR="00337043">
        <w:rPr>
          <w:noProof/>
          <w:color w:val="auto"/>
          <w:sz w:val="22"/>
        </w:rPr>
        <w:t>1</w:t>
      </w:r>
      <w:r w:rsidRPr="000A3B3D">
        <w:rPr>
          <w:color w:val="auto"/>
          <w:sz w:val="22"/>
        </w:rPr>
        <w:fldChar w:fldCharType="end"/>
      </w:r>
      <w:r w:rsidRPr="000A3B3D">
        <w:rPr>
          <w:color w:val="auto"/>
          <w:sz w:val="22"/>
        </w:rPr>
        <w:t xml:space="preserve"> :summarizes all performance metrics with 95% confidence intervals</w:t>
      </w:r>
    </w:p>
    <w:tbl>
      <w:tblPr>
        <w:tblStyle w:val="TableGrid"/>
        <w:tblW w:w="5000" w:type="pct"/>
        <w:tblLook w:val="04A0" w:firstRow="1" w:lastRow="0" w:firstColumn="1" w:lastColumn="0" w:noHBand="0" w:noVBand="1"/>
      </w:tblPr>
      <w:tblGrid>
        <w:gridCol w:w="2457"/>
        <w:gridCol w:w="1584"/>
        <w:gridCol w:w="4978"/>
      </w:tblGrid>
      <w:tr w:rsidR="00853524" w:rsidTr="00D57DA9">
        <w:tc>
          <w:tcPr>
            <w:tcW w:w="1362" w:type="pct"/>
          </w:tcPr>
          <w:p w:rsidR="00853524" w:rsidRPr="00D57DA9" w:rsidRDefault="00853524" w:rsidP="00BF1173">
            <w:pPr>
              <w:spacing w:line="360" w:lineRule="auto"/>
              <w:rPr>
                <w:rFonts w:ascii="Times New Roman" w:hAnsi="Times New Roman" w:cs="Times New Roman"/>
                <w:b/>
                <w:sz w:val="24"/>
              </w:rPr>
            </w:pPr>
            <w:r w:rsidRPr="00D57DA9">
              <w:rPr>
                <w:rFonts w:ascii="Times New Roman" w:hAnsi="Times New Roman" w:cs="Times New Roman"/>
                <w:b/>
                <w:sz w:val="24"/>
              </w:rPr>
              <w:t>Metric</w:t>
            </w:r>
          </w:p>
        </w:tc>
        <w:tc>
          <w:tcPr>
            <w:tcW w:w="878" w:type="pct"/>
          </w:tcPr>
          <w:p w:rsidR="00853524" w:rsidRPr="00D57DA9" w:rsidRDefault="00853524" w:rsidP="00BF1173">
            <w:pPr>
              <w:spacing w:line="360" w:lineRule="auto"/>
              <w:rPr>
                <w:rFonts w:ascii="Times New Roman" w:hAnsi="Times New Roman" w:cs="Times New Roman"/>
                <w:b/>
                <w:sz w:val="24"/>
              </w:rPr>
            </w:pPr>
            <w:r w:rsidRPr="00D57DA9">
              <w:rPr>
                <w:rFonts w:ascii="Times New Roman" w:hAnsi="Times New Roman" w:cs="Times New Roman"/>
                <w:b/>
                <w:sz w:val="24"/>
              </w:rPr>
              <w:t>Value</w:t>
            </w:r>
          </w:p>
        </w:tc>
        <w:tc>
          <w:tcPr>
            <w:tcW w:w="2760" w:type="pct"/>
          </w:tcPr>
          <w:p w:rsidR="00853524" w:rsidRPr="00D57DA9" w:rsidRDefault="00D57DA9" w:rsidP="00BF1173">
            <w:pPr>
              <w:spacing w:line="360" w:lineRule="auto"/>
              <w:jc w:val="center"/>
              <w:rPr>
                <w:rFonts w:ascii="Times New Roman" w:hAnsi="Times New Roman" w:cs="Times New Roman"/>
                <w:b/>
                <w:sz w:val="24"/>
              </w:rPr>
            </w:pPr>
            <w:r w:rsidRPr="00D57DA9">
              <w:rPr>
                <w:rFonts w:ascii="Times New Roman" w:hAnsi="Times New Roman" w:cs="Times New Roman"/>
                <w:b/>
                <w:sz w:val="24"/>
              </w:rPr>
              <w:t>95% Confidence I</w:t>
            </w:r>
            <w:r w:rsidR="00853524" w:rsidRPr="00D57DA9">
              <w:rPr>
                <w:rFonts w:ascii="Times New Roman" w:hAnsi="Times New Roman" w:cs="Times New Roman"/>
                <w:b/>
                <w:sz w:val="24"/>
              </w:rPr>
              <w:t>nterval</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AUC-ROC</w:t>
            </w:r>
          </w:p>
        </w:tc>
        <w:tc>
          <w:tcPr>
            <w:tcW w:w="878" w:type="pct"/>
          </w:tcPr>
          <w:p w:rsidR="00853524" w:rsidRDefault="00853524" w:rsidP="00BF1173">
            <w:pPr>
              <w:spacing w:line="360" w:lineRule="auto"/>
              <w:rPr>
                <w:rFonts w:ascii="Times New Roman" w:hAnsi="Times New Roman" w:cs="Times New Roman"/>
                <w:sz w:val="24"/>
              </w:rPr>
            </w:pPr>
            <w:r>
              <w:rPr>
                <w:rFonts w:ascii="Times New Roman" w:hAnsi="Times New Roman" w:cs="Times New Roman"/>
                <w:sz w:val="24"/>
              </w:rPr>
              <w:t>0.917</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0.89 – 0.94</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Accuracy</w:t>
            </w:r>
          </w:p>
        </w:tc>
        <w:tc>
          <w:tcPr>
            <w:tcW w:w="878" w:type="pct"/>
          </w:tcPr>
          <w:p w:rsidR="00853524" w:rsidRDefault="00853524" w:rsidP="00BF1173">
            <w:pPr>
              <w:spacing w:line="360" w:lineRule="auto"/>
              <w:rPr>
                <w:rFonts w:ascii="Times New Roman" w:hAnsi="Times New Roman" w:cs="Times New Roman"/>
                <w:sz w:val="24"/>
              </w:rPr>
            </w:pPr>
            <w:r>
              <w:rPr>
                <w:rFonts w:ascii="Times New Roman" w:hAnsi="Times New Roman" w:cs="Times New Roman"/>
                <w:sz w:val="24"/>
              </w:rPr>
              <w:t>85.0%</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79.5% - 89.5%</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Sensitivity</w:t>
            </w:r>
          </w:p>
        </w:tc>
        <w:tc>
          <w:tcPr>
            <w:tcW w:w="878"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82.0%</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73.5% -88.5%</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Specificity</w:t>
            </w:r>
          </w:p>
        </w:tc>
        <w:tc>
          <w:tcPr>
            <w:tcW w:w="878" w:type="pct"/>
          </w:tcPr>
          <w:p w:rsidR="00D57DA9" w:rsidRDefault="00D57DA9" w:rsidP="00BF1173">
            <w:pPr>
              <w:spacing w:line="360" w:lineRule="auto"/>
              <w:rPr>
                <w:rFonts w:ascii="Times New Roman" w:hAnsi="Times New Roman" w:cs="Times New Roman"/>
                <w:sz w:val="24"/>
              </w:rPr>
            </w:pPr>
            <w:r>
              <w:rPr>
                <w:rFonts w:ascii="Times New Roman" w:hAnsi="Times New Roman" w:cs="Times New Roman"/>
                <w:sz w:val="24"/>
              </w:rPr>
              <w:t>88.0%</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80.5% - 93.5%</w:t>
            </w:r>
          </w:p>
        </w:tc>
      </w:tr>
      <w:tr w:rsidR="00853524" w:rsidTr="00D57DA9">
        <w:tc>
          <w:tcPr>
            <w:tcW w:w="1362"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Precision</w:t>
            </w:r>
          </w:p>
        </w:tc>
        <w:tc>
          <w:tcPr>
            <w:tcW w:w="878" w:type="pct"/>
          </w:tcPr>
          <w:p w:rsidR="00853524" w:rsidRDefault="00D57DA9" w:rsidP="00BF1173">
            <w:pPr>
              <w:spacing w:line="360" w:lineRule="auto"/>
              <w:rPr>
                <w:rFonts w:ascii="Times New Roman" w:hAnsi="Times New Roman" w:cs="Times New Roman"/>
                <w:sz w:val="24"/>
              </w:rPr>
            </w:pPr>
            <w:r>
              <w:rPr>
                <w:rFonts w:ascii="Times New Roman" w:hAnsi="Times New Roman" w:cs="Times New Roman"/>
                <w:sz w:val="24"/>
              </w:rPr>
              <w:t>87.2%</w:t>
            </w:r>
          </w:p>
        </w:tc>
        <w:tc>
          <w:tcPr>
            <w:tcW w:w="2760" w:type="pct"/>
          </w:tcPr>
          <w:p w:rsidR="00853524" w:rsidRDefault="00D57DA9" w:rsidP="00BF1173">
            <w:pPr>
              <w:spacing w:line="360" w:lineRule="auto"/>
              <w:jc w:val="center"/>
              <w:rPr>
                <w:rFonts w:ascii="Times New Roman" w:hAnsi="Times New Roman" w:cs="Times New Roman"/>
                <w:sz w:val="24"/>
              </w:rPr>
            </w:pPr>
            <w:r>
              <w:rPr>
                <w:rFonts w:ascii="Times New Roman" w:hAnsi="Times New Roman" w:cs="Times New Roman"/>
                <w:sz w:val="24"/>
              </w:rPr>
              <w:t>79.5% - 92.5%</w:t>
            </w:r>
          </w:p>
        </w:tc>
      </w:tr>
    </w:tbl>
    <w:p w:rsidR="008B6F3D" w:rsidRDefault="008B6F3D" w:rsidP="00695EBF">
      <w:pPr>
        <w:pStyle w:val="Heading2"/>
        <w:rPr>
          <w:rStyle w:val="token"/>
          <w:rFonts w:eastAsiaTheme="majorEastAsia"/>
        </w:rPr>
        <w:sectPr w:rsidR="008B6F3D" w:rsidSect="008B6F3D">
          <w:type w:val="continuous"/>
          <w:pgSz w:w="11909" w:h="16834" w:code="9"/>
          <w:pgMar w:top="1440" w:right="1440" w:bottom="1440" w:left="1440" w:header="720" w:footer="720" w:gutter="0"/>
          <w:cols w:space="720"/>
          <w:docGrid w:linePitch="360"/>
        </w:sectPr>
      </w:pPr>
    </w:p>
    <w:p w:rsidR="000A3B3D" w:rsidRDefault="000A3B3D" w:rsidP="00695EBF">
      <w:pPr>
        <w:pStyle w:val="Heading2"/>
      </w:pPr>
      <w:r>
        <w:rPr>
          <w:rStyle w:val="token"/>
          <w:rFonts w:eastAsiaTheme="majorEastAsia"/>
        </w:rPr>
        <w:t>3.3 Training Analysis</w:t>
      </w:r>
    </w:p>
    <w:p w:rsidR="00496E7E" w:rsidRDefault="000A3B3D" w:rsidP="0095366C">
      <w:pPr>
        <w:pStyle w:val="HTMLPreformatted"/>
        <w:spacing w:line="360" w:lineRule="auto"/>
        <w:jc w:val="both"/>
        <w:rPr>
          <w:rFonts w:ascii="Times New Roman" w:hAnsi="Times New Roman" w:cs="Times New Roman"/>
          <w:sz w:val="24"/>
        </w:rPr>
        <w:sectPr w:rsidR="00496E7E" w:rsidSect="00496E7E">
          <w:type w:val="continuous"/>
          <w:pgSz w:w="11909" w:h="16834" w:code="9"/>
          <w:pgMar w:top="1440" w:right="1440" w:bottom="1440" w:left="1440" w:header="720" w:footer="720" w:gutter="0"/>
          <w:cols w:num="2" w:space="720"/>
          <w:docGrid w:linePitch="360"/>
        </w:sectPr>
      </w:pPr>
      <w:r w:rsidRPr="000A3B3D">
        <w:rPr>
          <w:rFonts w:ascii="Times New Roman" w:hAnsi="Times New Roman" w:cs="Times New Roman"/>
          <w:sz w:val="24"/>
        </w:rPr>
        <w:t xml:space="preserve">Training curves over 40 epochs (Figure 3) demonstrate successful model learning. </w:t>
      </w:r>
      <w:r w:rsidRPr="000A3B3D">
        <w:rPr>
          <w:rFonts w:ascii="Times New Roman" w:hAnsi="Times New Roman" w:cs="Times New Roman"/>
          <w:sz w:val="24"/>
        </w:rPr>
        <w:t xml:space="preserve">Validation loss decreased from 0.63 to 0.38, while validation AUC increased from 0.77 to a peak of 0.917 at epoch 39. The </w:t>
      </w:r>
      <w:r w:rsidRPr="000A3B3D">
        <w:rPr>
          <w:rFonts w:ascii="Times New Roman" w:hAnsi="Times New Roman" w:cs="Times New Roman"/>
          <w:sz w:val="24"/>
        </w:rPr>
        <w:lastRenderedPageBreak/>
        <w:t>close alignment between training and validation curves indicates no significant overfitting</w:t>
      </w:r>
      <w:r w:rsidR="00061635">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{"citationItems":[{"id":"ITEM-1","itemData":{"DOI":"10.1088/1742-6596/1168/2/022022","ISSN":"1742-6596","abstract":"Overfitting is a fundamental issue in supervised machine learning which prevents us from perfectly generalizing the models to well fit observed data on training data, as well as unseen data on testing set. Because of the presence of noise, the limited size of training set, and the complexity of classifiers, overfitting happens. This paper is going to talk about overfitting from the perspectives of causes and solutions. To reduce the effects of overfitting, various strategies are proposed to address to these causes: 1) \"early-stopping\" strategy is introduced to prevent overfitting by stopping training before the performance stops optimize; 2) \"network-reduction\" strategy is used to exclude the noises in training set; 3) \"data-expansion\" strategy is proposed for complicated models to fine-tune the hyper-parameters sets with a great amount of data; and 4) \"regularization\" strategy is proposed to guarantee models performance to a great extent while dealing with real world issues by feature-selection, and by distinguishing more useful and less useful features.","author":[{"dropping-particle":"","family":"Decuyper","given":"Milan","non-dropping-particle":"","parse-names":false,"suffix":""},{"dropping-particle":"","family":"Stockhoff","given":"Mariele","non-dropping-particle":"","parse-names":false,"suffix":""},{"dropping-particle":"","family":"Vandenberghe","given":"Stefaan","non-dropping-particle":"","parse-names":false,"suffix":""},{"dropping-particle":"","family":"Ying","given":"Xue","non-dropping-particle":"","parse-names":false,"suffix":""}],"container-title":"Journal of Physics: Conference Series","id":"ITEM-1","issue":"2","issued":{"date-parts":[["2019","2","1"]]},"page":"022022","publisher":"IOP Publishing","title":"An Overview of Overfitting and its Solutions","type":"article-journal","volume":"1168"},"uris":["http://www.mendeley.com/documents/?uuid=52ec3bc6-2616-3a56-9752-cd775bed6d1e"]}],"mendeley":{"formattedCitation":"(Decuyper et al., 2019)","plainTextFormattedCitation":"(Decuyper et al., 2019)","previouslyFormattedCitation":"(Decuyper et al., 2019)"},"properties":{"noteIndex":0},"schema":"https://github.com/citation-style-language/schema/raw/master/csl-citation.json"}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(Decuyper et al., 2019)</w:t>
      </w:r>
      <w:r w:rsidR="00AC279C">
        <w:rPr>
          <w:rFonts w:ascii="Times New Roman" w:hAnsi="Times New Roman" w:cs="Times New Roman"/>
          <w:sz w:val="24"/>
        </w:rPr>
        <w:fldChar w:fldCharType="end"/>
      </w:r>
    </w:p>
    <w:p w:rsidR="000A3B3D" w:rsidRPr="000A3B3D" w:rsidRDefault="00AC279C" w:rsidP="0095366C">
      <w:pPr>
        <w:pStyle w:val="HTMLPreformatted"/>
        <w:spacing w:line="360" w:lineRule="auto"/>
        <w:jc w:val="both"/>
        <w:rPr>
          <w:rFonts w:ascii="Times New Roman" w:hAnsi="Times New Roman" w:cs="Times New Roman"/>
          <w:sz w:val="24"/>
        </w:rPr>
      </w:pPr>
      <w:r>
        <w:rPr>
          <w:rFonts w:ascii="Times New Roman" w:hAnsi="Times New Roman" w:cs="Times New Roman"/>
          <w:sz w:val="24"/>
        </w:rPr>
        <w:t>.</w:t>
      </w:r>
    </w:p>
    <w:p w:rsidR="008B6F3D" w:rsidRDefault="008B6F3D" w:rsidP="00BF1173">
      <w:pPr>
        <w:keepNext/>
        <w:spacing w:line="360" w:lineRule="auto"/>
        <w:sectPr w:rsidR="008B6F3D" w:rsidSect="00695EBF">
          <w:type w:val="continuous"/>
          <w:pgSz w:w="11909" w:h="16834" w:code="9"/>
          <w:pgMar w:top="1440" w:right="1440" w:bottom="1440" w:left="1440" w:header="720" w:footer="720" w:gutter="0"/>
          <w:cols w:space="720"/>
          <w:docGrid w:linePitch="360"/>
        </w:sectPr>
      </w:pPr>
    </w:p>
    <w:p w:rsidR="000A3B3D" w:rsidRDefault="000A3B3D" w:rsidP="00BF1173">
      <w:pPr>
        <w:keepNext/>
        <w:spacing w:line="360" w:lineRule="auto"/>
      </w:pPr>
      <w:r>
        <w:rPr>
          <w:rFonts w:ascii="Times New Roman" w:hAnsi="Times New Roman" w:cs="Times New Roman"/>
          <w:noProof/>
          <w:sz w:val="24"/>
        </w:rPr>
        <w:drawing>
          <wp:inline distT="0" distB="0" distL="0" distR="0">
            <wp:extent cx="5733415" cy="187261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ing_curv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1872615"/>
                    </a:xfrm>
                    <a:prstGeom prst="rect">
                      <a:avLst/>
                    </a:prstGeom>
                  </pic:spPr>
                </pic:pic>
              </a:graphicData>
            </a:graphic>
          </wp:inline>
        </w:drawing>
      </w:r>
    </w:p>
    <w:p w:rsidR="008616B1" w:rsidRPr="008B6F3D" w:rsidRDefault="000A3B3D" w:rsidP="008B6F3D">
      <w:pPr>
        <w:pStyle w:val="Caption"/>
        <w:spacing w:line="360" w:lineRule="auto"/>
        <w:jc w:val="center"/>
        <w:rPr>
          <w:rFonts w:ascii="Times New Roman" w:hAnsi="Times New Roman" w:cs="Times New Roman"/>
          <w:color w:val="auto"/>
          <w:sz w:val="24"/>
        </w:rPr>
      </w:pPr>
      <w:r w:rsidRPr="000A3B3D">
        <w:rPr>
          <w:color w:val="auto"/>
        </w:rPr>
        <w:t xml:space="preserve">Figure </w:t>
      </w:r>
      <w:r w:rsidRPr="000A3B3D">
        <w:rPr>
          <w:color w:val="auto"/>
        </w:rPr>
        <w:fldChar w:fldCharType="begin"/>
      </w:r>
      <w:r w:rsidRPr="000A3B3D">
        <w:rPr>
          <w:color w:val="auto"/>
        </w:rPr>
        <w:instrText xml:space="preserve"> SEQ Figure \* ARABIC </w:instrText>
      </w:r>
      <w:r w:rsidRPr="000A3B3D">
        <w:rPr>
          <w:color w:val="auto"/>
        </w:rPr>
        <w:fldChar w:fldCharType="separate"/>
      </w:r>
      <w:r w:rsidR="00337043">
        <w:rPr>
          <w:noProof/>
          <w:color w:val="auto"/>
        </w:rPr>
        <w:t>3</w:t>
      </w:r>
      <w:r w:rsidRPr="000A3B3D">
        <w:rPr>
          <w:color w:val="auto"/>
        </w:rPr>
        <w:fldChar w:fldCharType="end"/>
      </w:r>
      <w:r w:rsidRPr="000A3B3D">
        <w:rPr>
          <w:color w:val="auto"/>
        </w:rPr>
        <w:t xml:space="preserve"> : Training Curves</w:t>
      </w:r>
    </w:p>
    <w:p w:rsidR="008B6F3D" w:rsidRDefault="008B6F3D" w:rsidP="00695EBF">
      <w:pPr>
        <w:pStyle w:val="Heading2"/>
        <w:rPr>
          <w:rStyle w:val="token"/>
          <w:rFonts w:eastAsiaTheme="majorEastAsia"/>
        </w:rPr>
        <w:sectPr w:rsidR="008B6F3D" w:rsidSect="008B6F3D">
          <w:type w:val="continuous"/>
          <w:pgSz w:w="11909" w:h="16834" w:code="9"/>
          <w:pgMar w:top="1440" w:right="1440" w:bottom="1440" w:left="1440" w:header="720" w:footer="720" w:gutter="0"/>
          <w:cols w:space="720"/>
          <w:docGrid w:linePitch="360"/>
        </w:sectPr>
      </w:pPr>
    </w:p>
    <w:p w:rsidR="000A3B3D" w:rsidRDefault="000A3B3D" w:rsidP="00695EBF">
      <w:pPr>
        <w:pStyle w:val="Heading2"/>
      </w:pPr>
      <w:r>
        <w:rPr>
          <w:rStyle w:val="token"/>
          <w:rFonts w:eastAsiaTheme="majorEastAsia"/>
        </w:rPr>
        <w:t>3.4 Explainability Analysis</w:t>
      </w:r>
    </w:p>
    <w:p w:rsidR="000A3B3D" w:rsidRPr="000A3B3D" w:rsidRDefault="000A3B3D" w:rsidP="0095366C">
      <w:pPr>
        <w:pStyle w:val="HTMLPreformatted"/>
        <w:spacing w:line="360" w:lineRule="auto"/>
        <w:jc w:val="both"/>
        <w:rPr>
          <w:rFonts w:ascii="Times New Roman" w:hAnsi="Times New Roman" w:cs="Times New Roman"/>
          <w:sz w:val="24"/>
        </w:rPr>
      </w:pPr>
      <w:r w:rsidRPr="000A3B3D">
        <w:rPr>
          <w:rFonts w:ascii="Times New Roman" w:hAnsi="Times New Roman" w:cs="Times New Roman"/>
          <w:sz w:val="24"/>
        </w:rPr>
        <w:t xml:space="preserve">Grad-CAM attention maps (Figure 4) revealed distinct patterns between edema and normal cases. For edema cases (top row), the model focused on perihilar and interstitial lung regions, </w:t>
      </w:r>
      <w:r w:rsidR="00061635">
        <w:rPr>
          <w:rFonts w:ascii="Times New Roman" w:hAnsi="Times New Roman" w:cs="Times New Roman"/>
          <w:sz w:val="24"/>
        </w:rPr>
        <w:t xml:space="preserve">which is </w:t>
      </w:r>
      <w:r w:rsidRPr="000A3B3D">
        <w:rPr>
          <w:rFonts w:ascii="Times New Roman" w:hAnsi="Times New Roman" w:cs="Times New Roman"/>
          <w:sz w:val="24"/>
        </w:rPr>
        <w:t xml:space="preserve">consistent </w:t>
      </w:r>
      <w:r w:rsidRPr="000A3B3D">
        <w:rPr>
          <w:rFonts w:ascii="Times New Roman" w:hAnsi="Times New Roman" w:cs="Times New Roman"/>
          <w:sz w:val="24"/>
        </w:rPr>
        <w:t>with radiological findings of pulmonary edema</w:t>
      </w:r>
      <w:r w:rsidR="00061635">
        <w:rPr>
          <w:rFonts w:ascii="Times New Roman" w:hAnsi="Times New Roman" w:cs="Times New Roman"/>
          <w:sz w:val="24"/>
        </w:rPr>
        <w:t xml:space="preserve"> </w:t>
      </w:r>
      <w:r w:rsidR="00AC279C">
        <w:rPr>
          <w:rFonts w:ascii="Times New Roman" w:hAnsi="Times New Roman" w:cs="Times New Roman"/>
          <w:sz w:val="24"/>
        </w:rPr>
        <w:fldChar w:fldCharType="begin" w:fldLock="1"/>
      </w:r>
      <w:r w:rsidR="00E43051">
        <w:rPr>
          <w:rFonts w:ascii="Times New Roman" w:hAnsi="Times New Roman" w:cs="Times New Roman"/>
          <w:sz w:val="24"/>
        </w:rPr>
        <w:instrText>ADDIN CSL_CITATION {"citationItems":[{"id":"ITEM-1","itemData":{"DOI":"10.2214/AJR.144.5.879","ISBN":"196.43.77.188","ISSN":"0361803X","PMID":"3872571","abstract":"Improvement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-1","issue":"5","issued":{"date-parts":[["2012","11","23"]]},"page":"879-894","publisher":"American Roentgen Ray Society","title":"The radiologic distinction of cardiogenic and noncardiogenic edema","type":"article-journal","volume":"144"},"uris":["http://www.mendeley.com/documents/?uuid=e2ea7f9f-d5dd-338f-8cb4-83f38dd7cc54"]}],"mendeley":{"formattedCitation":"(Milne et al., 2012)","plainTextFormattedCitation":"(Milne et al., 2012)","previouslyFormattedCitation":"(Milne et al., 2012)"},"properties":{"noteIndex":0},"schema":"https://github.com/citation-style-language/schema/raw/master/csl-citation.json"}</w:instrText>
      </w:r>
      <w:r w:rsidR="00AC279C">
        <w:rPr>
          <w:rFonts w:ascii="Times New Roman" w:hAnsi="Times New Roman" w:cs="Times New Roman"/>
          <w:sz w:val="24"/>
        </w:rPr>
        <w:fldChar w:fldCharType="separate"/>
      </w:r>
      <w:r w:rsidR="005A46D7" w:rsidRPr="005A46D7">
        <w:rPr>
          <w:rFonts w:ascii="Times New Roman" w:hAnsi="Times New Roman" w:cs="Times New Roman"/>
          <w:noProof/>
          <w:sz w:val="24"/>
        </w:rPr>
        <w:t>(Milne et al., 2012)</w:t>
      </w:r>
      <w:r w:rsidR="00AC279C">
        <w:rPr>
          <w:rFonts w:ascii="Times New Roman" w:hAnsi="Times New Roman" w:cs="Times New Roman"/>
          <w:sz w:val="24"/>
        </w:rPr>
        <w:fldChar w:fldCharType="end"/>
      </w:r>
      <w:r w:rsidRPr="000A3B3D">
        <w:rPr>
          <w:rFonts w:ascii="Times New Roman" w:hAnsi="Times New Roman" w:cs="Times New Roman"/>
          <w:sz w:val="24"/>
        </w:rPr>
        <w:t>. For normal cases (bottom row), attention was diffusely distributed across normal anatomical structures</w:t>
      </w:r>
      <w:r w:rsidR="00061635">
        <w:rPr>
          <w:rFonts w:ascii="Times New Roman" w:hAnsi="Times New Roman" w:cs="Times New Roman"/>
          <w:sz w:val="24"/>
        </w:rPr>
        <w:t xml:space="preserve"> without focal concentration</w:t>
      </w:r>
      <w:r w:rsidRPr="000A3B3D">
        <w:rPr>
          <w:rFonts w:ascii="Times New Roman" w:hAnsi="Times New Roman" w:cs="Times New Roman"/>
          <w:sz w:val="24"/>
        </w:rPr>
        <w:t xml:space="preserve">. Confidence scores </w:t>
      </w:r>
      <w:r w:rsidR="00061635">
        <w:rPr>
          <w:rFonts w:ascii="Times New Roman" w:hAnsi="Times New Roman" w:cs="Times New Roman"/>
          <w:sz w:val="24"/>
        </w:rPr>
        <w:t>for correctly classified cases ranged from 61.0% to 92.5</w:t>
      </w:r>
      <w:r w:rsidRPr="000A3B3D">
        <w:rPr>
          <w:rFonts w:ascii="Times New Roman" w:hAnsi="Times New Roman" w:cs="Times New Roman"/>
          <w:sz w:val="24"/>
        </w:rPr>
        <w:t>%.</w:t>
      </w:r>
    </w:p>
    <w:p w:rsidR="008B6F3D" w:rsidRDefault="008B6F3D" w:rsidP="00BF1173">
      <w:pPr>
        <w:spacing w:line="360" w:lineRule="auto"/>
        <w:sectPr w:rsidR="008B6F3D" w:rsidSect="00496E7E">
          <w:type w:val="continuous"/>
          <w:pgSz w:w="11909" w:h="16834" w:code="9"/>
          <w:pgMar w:top="1440" w:right="1440" w:bottom="1440" w:left="1440" w:header="720" w:footer="720" w:gutter="0"/>
          <w:cols w:num="2" w:space="720"/>
          <w:docGrid w:linePitch="360"/>
        </w:sectPr>
      </w:pPr>
    </w:p>
    <w:p w:rsidR="008616B1" w:rsidRPr="00C13908" w:rsidRDefault="000A3B3D" w:rsidP="00C13908">
      <w:pPr>
        <w:spacing w:line="360" w:lineRule="auto"/>
      </w:pPr>
      <w:r>
        <w:rPr>
          <w:noProof/>
        </w:rPr>
        <w:drawing>
          <wp:inline distT="0" distB="0" distL="0" distR="0">
            <wp:extent cx="5733415" cy="3267075"/>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ttention_maps_fixe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67075"/>
                    </a:xfrm>
                    <a:prstGeom prst="rect">
                      <a:avLst/>
                    </a:prstGeom>
                  </pic:spPr>
                </pic:pic>
              </a:graphicData>
            </a:graphic>
          </wp:inline>
        </w:drawing>
      </w:r>
    </w:p>
    <w:p w:rsidR="00C13908" w:rsidRDefault="00C13908" w:rsidP="00695EBF">
      <w:pPr>
        <w:pStyle w:val="Heading2"/>
        <w:rPr>
          <w:rFonts w:eastAsiaTheme="majorEastAsia"/>
        </w:rPr>
        <w:sectPr w:rsidR="00C13908" w:rsidSect="008B6F3D">
          <w:type w:val="continuous"/>
          <w:pgSz w:w="11909" w:h="16834" w:code="9"/>
          <w:pgMar w:top="1440" w:right="1440" w:bottom="1440" w:left="1440" w:header="720" w:footer="720" w:gutter="0"/>
          <w:cols w:space="720"/>
          <w:docGrid w:linePitch="360"/>
        </w:sectPr>
      </w:pPr>
    </w:p>
    <w:p w:rsidR="001C6EB4" w:rsidRPr="001C6EB4" w:rsidRDefault="001C6EB4" w:rsidP="00695EBF">
      <w:pPr>
        <w:pStyle w:val="Heading2"/>
        <w:rPr>
          <w:rFonts w:eastAsiaTheme="majorEastAsia"/>
        </w:rPr>
      </w:pPr>
      <w:r w:rsidRPr="001C6EB4">
        <w:rPr>
          <w:rFonts w:eastAsiaTheme="majorEastAsia"/>
        </w:rPr>
        <w:lastRenderedPageBreak/>
        <w:t>4. DISCUSSION</w:t>
      </w:r>
    </w:p>
    <w:p w:rsidR="001C6EB4" w:rsidRPr="001C6EB4" w:rsidRDefault="001C6EB4" w:rsidP="00695EBF">
      <w:pPr>
        <w:pStyle w:val="Heading2"/>
        <w:rPr>
          <w:rFonts w:eastAsiaTheme="majorEastAsia"/>
        </w:rPr>
      </w:pPr>
      <w:r w:rsidRPr="001C6EB4">
        <w:rPr>
          <w:rFonts w:eastAsiaTheme="majorEastAsia"/>
        </w:rPr>
        <w:t>4.1 Principal Findings</w:t>
      </w:r>
    </w:p>
    <w:p w:rsidR="001C6EB4" w:rsidRPr="001C6EB4" w:rsidRDefault="001C6EB4" w:rsidP="00953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1C6EB4">
        <w:rPr>
          <w:rFonts w:ascii="Times New Roman" w:eastAsia="Times New Roman" w:hAnsi="Times New Roman" w:cs="Times New Roman"/>
          <w:sz w:val="24"/>
          <w:szCs w:val="24"/>
        </w:rPr>
        <w:t xml:space="preserve">We developed an explainable deep learning model for pulmonary edema detection achieving an AUC of 0.917, accuracy of 85.0%, sensitivity of 82.0%, and specificity of 88.0%. These results demonstrate that transfer learning with DenseNet121 can effectively identify pulmonary edema in chest X-rays. Critically, Grad-CAM visualizations provide clinically interpretable attention maps, addressing the "black box" limitation of traditional deep learning models </w:t>
      </w:r>
      <w:r w:rsidR="005A46D7">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{"citationItems":[{"id":"ITEM-1","itemData":{"DOI":"10.1109/JPROC.2021.3060483","ISSN":"15582256","abstract":"With the broader and highly successful usage of machine learning (ML) in industry and the sciences, there has been a growing demand for explainable artificial intelligence (XAI). Interpretability and explanation methods for gaining a better understanding of the problem-solving abilities and strategies of nonlinear ML, in particular, deep neural networks, are, therefore, receiving increased attention. In this work, we aim to: 1) provide a timely overview of this active emerging field, with a focus on 'post hoc' explanations, and explain its theoretical foundations; 2) put interpretability algorithms to a test both from a theory and comparative evaluation perspective using extensive simulations; 3) outline best practice aspects, i.e., how to best include interpretation methods into the standard usage of ML; and 4) demonstrate successful usage of XAI in a representative selection of application scenarios. Finally, we discuss challenges and possible future directions of this exciting foundational field of ML.","author":[{"dropping-particle":"","family":"Samek","given":"Wojciech","non-dropping-particle":"","parse-names":false,"suffix":""},{"dropping-particle":"","family":"Montavon","given":"Grégoire","non-dropping-particle":"","parse-names":false,"suffix":""},{"dropping-particle":"","family":"Lapuschkin","given":"Sebastian","non-dropping-particle":"","parse-names":false,"suffix":""},{"dropping-particle":"","family":"Anders","given":"Christopher J.","non-dropping-particle":"","parse-names":false,"suffix":""},{"dropping-particle":"","family":"Müller","given":"Klaus Robert","non-dropping-particle":"","parse-names":false,"suffix":""}],"container-title":"Proceedings of the IEEE","id":"ITEM-1","issue":"3","issued":{"date-parts":[["2021","3","1"]]},"page":"247-278","publisher":"Institute of Electrical and Electronics Engineers Inc.","title":"Explaining Deep Neural Networks and Beyond: A Review of Methods and Applications","type":"article-journal","volume":"109"},"uris":["http://www.mendeley.com/documents/?uuid=6aec0f67-c44c-34d5-a723-ee21df1d0b3c"]},{"id":"ITEM-2","itemData":{"DOI":"10.1016/J.MEDIA.2022.102470","ISSN":"1361-8415","PMID":"35576821","abstract":"With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Analysis","id":"ITEM-2","issued":{"date-parts":[["2022","7","1"]]},"page":"102470","publisher":"Elsevier","title":"Explainable artificial intelligence (XAI) in deep learning-based medical image analysis","type":"article-journal","volume":"79"},"uris":["http://www.mendeley.com/documents/?uuid=4a68a878-e2b1-3a0b-9d5d-08bc60968fb5"]}],"mendeley":{"formattedCitation":"(Samek et al., 2021; van der Velden et al., 2022)","plainTextFormattedCitation":"(Samek et al., 2021; van der Velden et al., 2022)","previouslyFormattedCitation":"(Samek et al., 2021; van der Velden et al., 2022)"},"properties":{"noteIndex":0},"schema":"https://github.com/citation-style-language/schema/raw/master/csl-citation.json"}</w:instrText>
      </w:r>
      <w:r w:rsidR="005A46D7">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(Samek et al., 2021; van der Velden et al., 2022)</w:t>
      </w:r>
      <w:r w:rsidR="005A46D7">
        <w:rPr>
          <w:rFonts w:ascii="Times New Roman" w:eastAsia="Times New Roman" w:hAnsi="Times New Roman" w:cs="Times New Roman"/>
          <w:sz w:val="24"/>
          <w:szCs w:val="24"/>
        </w:rPr>
        <w:fldChar w:fldCharType="end"/>
      </w:r>
      <w:r w:rsidRPr="001C6EB4">
        <w:rPr>
          <w:rFonts w:ascii="Times New Roman" w:eastAsia="Times New Roman" w:hAnsi="Times New Roman" w:cs="Times New Roman"/>
          <w:sz w:val="24"/>
          <w:szCs w:val="24"/>
        </w:rPr>
        <w:t>.</w:t>
      </w:r>
    </w:p>
    <w:p w:rsidR="001C6EB4" w:rsidRPr="001C6EB4" w:rsidRDefault="001C6EB4" w:rsidP="00695EBF">
      <w:pPr>
        <w:pStyle w:val="Heading2"/>
        <w:rPr>
          <w:rFonts w:eastAsiaTheme="majorEastAsia"/>
        </w:rPr>
      </w:pPr>
      <w:r w:rsidRPr="001C6EB4">
        <w:rPr>
          <w:rFonts w:eastAsiaTheme="majorEastAsia"/>
        </w:rPr>
        <w:t>4.2 Comparison with Previous Studies</w:t>
      </w:r>
    </w:p>
    <w:p w:rsidR="001B0442" w:rsidRPr="001B0442" w:rsidRDefault="001B0442" w:rsidP="001B0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0"/>
        </w:rPr>
      </w:pPr>
      <w:r w:rsidRPr="001B0442">
        <w:rPr>
          <w:rFonts w:ascii="Times New Roman" w:eastAsia="Times New Roman" w:hAnsi="Times New Roman" w:cs="Times New Roman"/>
          <w:sz w:val="24"/>
          <w:szCs w:val="20"/>
        </w:rPr>
        <w:t>Our results compare favorably with prior work in chest X-ray classification.</w:t>
      </w:r>
      <w:r w:rsidR="001C2C1B">
        <w:rPr>
          <w:rFonts w:ascii="Times New Roman" w:eastAsia="Times New Roman" w:hAnsi="Times New Roman" w:cs="Times New Roman"/>
          <w:sz w:val="24"/>
          <w:szCs w:val="20"/>
        </w:rPr>
        <w:t xml:space="preserve"> </w:t>
      </w:r>
      <w:r w:rsidR="001C2C1B">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2017)","manualFormatting":"Rajpurkar et al., (2017)","plainTextFormattedCitation":"(Rajpurkar et al., 2017)","previouslyFormattedCitation":"(Rajpurkar et al., 2017)"},"properties":{"noteIndex":0},"schema":"https://github.com/citation-style-language/schema/raw/master/csl-citation.json"}</w:instrText>
      </w:r>
      <w:r w:rsidR="001C2C1B">
        <w:rPr>
          <w:rFonts w:ascii="Times New Roman" w:eastAsia="Times New Roman" w:hAnsi="Times New Roman" w:cs="Times New Roman"/>
          <w:sz w:val="24"/>
          <w:szCs w:val="20"/>
        </w:rPr>
        <w:fldChar w:fldCharType="separate"/>
      </w:r>
      <w:r w:rsidR="001C2C1B" w:rsidRPr="001C2C1B">
        <w:rPr>
          <w:rFonts w:ascii="Times New Roman" w:eastAsia="Times New Roman" w:hAnsi="Times New Roman" w:cs="Times New Roman"/>
          <w:noProof/>
          <w:sz w:val="24"/>
          <w:szCs w:val="20"/>
        </w:rPr>
        <w:t xml:space="preserve">Rajpurkar et al., </w:t>
      </w:r>
      <w:r w:rsidR="001C2C1B">
        <w:rPr>
          <w:rFonts w:ascii="Times New Roman" w:eastAsia="Times New Roman" w:hAnsi="Times New Roman" w:cs="Times New Roman"/>
          <w:noProof/>
          <w:sz w:val="24"/>
          <w:szCs w:val="20"/>
        </w:rPr>
        <w:t>(</w:t>
      </w:r>
      <w:r w:rsidR="001C2C1B" w:rsidRPr="001C2C1B">
        <w:rPr>
          <w:rFonts w:ascii="Times New Roman" w:eastAsia="Times New Roman" w:hAnsi="Times New Roman" w:cs="Times New Roman"/>
          <w:noProof/>
          <w:sz w:val="24"/>
          <w:szCs w:val="20"/>
        </w:rPr>
        <w:t>2017)</w:t>
      </w:r>
      <w:r w:rsidR="001C2C1B">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 xml:space="preserve"> developed CheXNet for pneumonia detection and achieved an AUC of 0.88 for edema detection on the NIH ChestX-ray14 dataset.</w:t>
      </w:r>
      <w:r w:rsidR="001C2C1B">
        <w:rPr>
          <w:rFonts w:ascii="Times New Roman" w:eastAsia="Times New Roman" w:hAnsi="Times New Roman" w:cs="Times New Roman"/>
          <w:sz w:val="24"/>
          <w:szCs w:val="20"/>
        </w:rPr>
        <w:t xml:space="preserve"> </w:t>
      </w:r>
      <w:r w:rsidR="001C2C1B">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{"citationItems":[{"id":"ITEM-1","itemData":{"DOI":"10.1093/NSR/NWAA137","ISSN":"2095-5138","PMID":"34676092","abstract":"To control the spread of the 2019 novel coronavirus (COVID-19), China imposed nationwide restrictions on the movement of its population (lockdown) after the Chinese New Year of 2020, leading to large reductions in economic activities and associated emissions. Despite such large decreases in primary pollution, there were nonetheless several periods of heavy haze pollution in eastern China, raising questions about the well-established relationship between human activities and air quality. Here, using comprehensive measurements and modeling, we show that the haze during the COVID lockdown was driven by enhancements of secondary pollution. In particular, large decreases in NOx emissions from transportation increased ozone and nighttime NO3 radical formation, and these increases in atmospheric oxidizing capacity in turn facilitated the formation of secondary particulate matter. Our results, afforded by the tragic natural experiment of the COVID-19 pandemic, indicate that haze mitigation depends upon a coordinated and balanced strategy for controlling multiple pollutants.","author":[{"dropping-particle":"","family":"Huang","given":"Xin","non-dropping-particle":"","parse-names":false,"suffix":""},{"dropping-particle":"","family":"Ding","given":"Aijun","non-dropping-particle":"","parse-names":false,"suffix":""},{"dropping-particle":"","family":"Gao","given":"Jian","non-dropping-particle":"","parse-names":false,"suffix":""},{"dropping-particle":"","family":"Zheng","given":"Bo","non-dropping-particle":"","parse-names":false,"suffix":""},{"dropping-particle":"","family":"Zhou","given":"Derong","non-dropping-particle":"","parse-names":false,"suffix":""},{"dropping-particle":"","family":"Qi","given":"Ximeng","non-dropping-particle":"","parse-names":false,"suffix":""},{"dropping-particle":"","family":"Tang","given":"Rong","non-dropping-particle":"","parse-names":false,"suffix":""},{"dropping-particle":"","family":"Wang","given":"Jiaping","non-dropping-particle":"","parse-names":false,"suffix":""},{"dropping-particle":"","family":"Ren","given":"Chuanhua","non-dropping-particle":"","parse-names":false,"suffix":""},{"dropping-particle":"","family":"Nie","given":"Wei","non-dropping-particle":"","parse-names":false,"suffix":""},{"dropping-particle":"","family":"Chi","given":"Xuguang","non-dropping-particle":"","parse-names":false,"suffix":""},{"dropping-particle":"","family":"Xu","given":"Zheng","non-dropping-particle":"","parse-names":false,"suffix":""},{"dropping-particle":"","family":"Chen","given":"Liangduo","non-dropping-particle":"","parse-names":false,"suffix":""},{"dropping-particle":"","family":"Li","given":"Yuanyuan","non-dropping-particle":"","parse-names":false,"suffix":""},{"dropping-particle":"","family":"Che","given":"Fei","non-dropping-particle":"","parse-names":false,"suffix":""},{"dropping-particle":"","family":"Pang","given":"Nini","non-dropping-particle":"","parse-names":false,"suffix":""},{"dropping-particle":"","family":"Wang","given":"Haikun","non-dropping-particle":"","parse-names":false,"suffix":""},{"dropping-particle":"","family":"Tong","given":"Dan","non-dropping-particle":"","parse-names":false,"suffix":""},{"dropping-particle":"","family":"Qin","given":"Wei","non-dropping-particle":"","parse-names":false,"suffix":""},{"dropping-particle":"","family":"Cheng","given":"Wei","non-dropping-particle":"","parse-names":false,"suffix":""},{"dropping-particle":"","family":"Liu","given":"Weijing","non-dropping-particle":"","parse-names":false,"suffix":""},{"dropping-particle":"","family":"Fu","given":"Qingyan","non-dropping-particle":"","parse-names":false,"suffix":""},{"dropping-particle":"","family":"Liu","given":"Baoxian","non-dropping-particle":"","parse-names":false,"suffix":""},{"dropping-particle":"","family":"Chai","given":"Fahe","non-dropping-particle":"","parse-names":false,"suffix":""},{"dropping-particle":"","family":"Davis","given":"Steven J.","non-dropping-particle":"","parse-names":false,"suffix":""},{"dropping-particle":"","family":"Zhang","given":"Qiang","non-dropping-particle":"","parse-names":false,"suffix":""},{"dropping-particle":"","family":"He","given":"Kebin","non-dropping-particle":"","parse-names":false,"suffix":""}],"container-title":"National Science Review","id":"ITEM-1","issue":"2","issued":{"date-parts":[["2021","2","10"]]},"page":"2021","publisher":"Oxford Academic","title":"Enhanced secondary pollution offset reduction of primary emissions during COVID-19 lockdown in China","type":"article-journal","volume":"8"},"uris":["http://www.mendeley.com/documents/?uuid=d59c94f7-4af6-3f6b-96b7-f3a0cc3acd79"]}],"mendeley":{"formattedCitation":"(X. Huang et al., 2021)","manualFormatting":"X. Huang et al., (2021)","plainTextFormattedCitation":"(X. Huang et al., 2021)","previouslyFormattedCitation":"(X. Huang et al., 2021)"},"properties":{"noteIndex":0},"schema":"https://github.com/citation-style-language/schema/raw/master/csl-citation.json"}</w:instrText>
      </w:r>
      <w:r w:rsidR="001C2C1B">
        <w:rPr>
          <w:rFonts w:ascii="Times New Roman" w:eastAsia="Times New Roman" w:hAnsi="Times New Roman" w:cs="Times New Roman"/>
          <w:sz w:val="24"/>
          <w:szCs w:val="20"/>
        </w:rPr>
        <w:fldChar w:fldCharType="separate"/>
      </w:r>
      <w:r w:rsidR="001C2C1B" w:rsidRPr="001C2C1B">
        <w:rPr>
          <w:rFonts w:ascii="Times New Roman" w:eastAsia="Times New Roman" w:hAnsi="Times New Roman" w:cs="Times New Roman"/>
          <w:noProof/>
          <w:sz w:val="24"/>
          <w:szCs w:val="20"/>
        </w:rPr>
        <w:t xml:space="preserve">X. Huang et al., </w:t>
      </w:r>
      <w:r w:rsidR="001C2C1B">
        <w:rPr>
          <w:rFonts w:ascii="Times New Roman" w:eastAsia="Times New Roman" w:hAnsi="Times New Roman" w:cs="Times New Roman"/>
          <w:noProof/>
          <w:sz w:val="24"/>
          <w:szCs w:val="20"/>
        </w:rPr>
        <w:t>(</w:t>
      </w:r>
      <w:r w:rsidR="001C2C1B" w:rsidRPr="001C2C1B">
        <w:rPr>
          <w:rFonts w:ascii="Times New Roman" w:eastAsia="Times New Roman" w:hAnsi="Times New Roman" w:cs="Times New Roman"/>
          <w:noProof/>
          <w:sz w:val="24"/>
          <w:szCs w:val="20"/>
        </w:rPr>
        <w:t>2021)</w:t>
      </w:r>
      <w:r w:rsidR="001C2C1B">
        <w:rPr>
          <w:rFonts w:ascii="Times New Roman" w:eastAsia="Times New Roman" w:hAnsi="Times New Roman" w:cs="Times New Roman"/>
          <w:sz w:val="24"/>
          <w:szCs w:val="20"/>
        </w:rPr>
        <w:fldChar w:fldCharType="end"/>
      </w:r>
      <w:r w:rsidR="005A46D7">
        <w:rPr>
          <w:rFonts w:ascii="Times New Roman" w:eastAsia="Times New Roman" w:hAnsi="Times New Roman" w:cs="Times New Roman"/>
          <w:sz w:val="24"/>
          <w:szCs w:val="20"/>
        </w:rPr>
        <w:t xml:space="preserve"> </w:t>
      </w:r>
      <w:r w:rsidRPr="001B0442">
        <w:rPr>
          <w:rFonts w:ascii="Times New Roman" w:eastAsia="Times New Roman" w:hAnsi="Times New Roman" w:cs="Times New Roman"/>
          <w:sz w:val="24"/>
          <w:szCs w:val="20"/>
        </w:rPr>
        <w:t xml:space="preserve">reported AUCs ranging from 0.85 to 0.92 for various thoracic abnormalities using ensemble methods. Our AUC of 0.917 represents competitive performance, likely attributable to our balanced dataset and two-phase training strategy </w:t>
      </w:r>
      <w:r w:rsidR="005A46D7">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{"citationItems":[{"id":"ITEM-1","itemData":{"abstract":"Many deep neural networks trained on natural images exhibit a curious phenomenon in common: on the first layer they learn features similar to Gabor filters and color blobs. Such first-layer features appear not to be specific to a particular dataset or task, but general in that they are applicable to many datasets and tasks. Features must eventually transition from general to specific by the last layer of the network, but this transition has not been studied extensively. In this paper we experimentally quantify the generality versus specificity of neurons in each layer of a deep convolutional neural network and report a few surprising results. Trans-ferability is negatively affected by two distinct issues: (1) the specialization of higher layer neurons to their original task at the expense of performance on the target task, which was expected, and (2) optimization difficulties related to splitting networks between co-adapted neurons, which was not expected. In an example network trained on ImageNet, we demonstrate that either of these two issues may dominate, depending on whether features are transferred from the bottom, middle, or top of the network. We also document that the transferability of features decreases as the distance between the base task and target task increases, but that transferring features even from distant tasks can be better than using random features. A final surprising result is that initializing a network with transferred features from almost any number of layers can produce a boost to generalization that lingers even after fine-tuning to the target dataset.","author":[{"dropping-particle":"","family":"Yosinski","given":"Jason","non-dropping-particle":"","parse-names":false,"suffix":""},{"dropping-particle":"","family":"Clune","given":"Jeff","non-dropping-particle":"","parse-names":false,"suffix":""},{"dropping-particle":"","family":"Bengio","given":"Yoshua","non-dropping-particle":"","parse-names":false,"suffix":""},{"dropping-particle":"","family":"Lipson","given":"Hod","non-dropping-particle":"","parse-names":false,"suffix":""}],"container-title":"Advances in Neural Information Processing Systems","id":"ITEM-1","issued":{"date-parts":[["2014"]]},"title":"How transferable are features in deep neural networks?","type":"article-journal","volume":"27"},"uris":["http://www.mendeley.com/documents/?uuid=8d3907ff-aab8-33df-a887-4ab081544117"]}],"mendeley":{"formattedCitation":"(Yosinski et al., 2014)","plainTextFormattedCitation":"(Yosinski et al., 2014)","previouslyFormattedCitation":"(Yosinski et al., 2014)"},"properties":{"noteIndex":0},"schema":"https://github.com/citation-style-language/schema/raw/master/csl-citation.json"}</w:instrText>
      </w:r>
      <w:r w:rsidR="005A46D7">
        <w:rPr>
          <w:rFonts w:ascii="Times New Roman" w:eastAsia="Times New Roman" w:hAnsi="Times New Roman" w:cs="Times New Roman"/>
          <w:sz w:val="24"/>
          <w:szCs w:val="20"/>
        </w:rPr>
        <w:fldChar w:fldCharType="separate"/>
      </w:r>
      <w:r w:rsidR="005A46D7" w:rsidRPr="005A46D7">
        <w:rPr>
          <w:rFonts w:ascii="Times New Roman" w:eastAsia="Times New Roman" w:hAnsi="Times New Roman" w:cs="Times New Roman"/>
          <w:noProof/>
          <w:sz w:val="24"/>
          <w:szCs w:val="20"/>
        </w:rPr>
        <w:t>(Yosinski et al., 2014)</w:t>
      </w:r>
      <w:r w:rsidR="005A46D7">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w:t>
      </w:r>
    </w:p>
    <w:p w:rsidR="001B0442" w:rsidRPr="001B0442" w:rsidRDefault="001B0442" w:rsidP="001B0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0"/>
        </w:rPr>
      </w:pPr>
      <w:r w:rsidRPr="001B0442">
        <w:rPr>
          <w:rFonts w:ascii="Times New Roman" w:eastAsia="Times New Roman" w:hAnsi="Times New Roman" w:cs="Times New Roman"/>
          <w:sz w:val="24"/>
          <w:szCs w:val="20"/>
        </w:rPr>
        <w:t xml:space="preserve">Previous studies have demonstrated the value of explainability in medical AI. </w:t>
      </w:r>
      <w:r w:rsidR="005A46D7">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{"citationItems":[{"id":"ITEM-1","itemData":{"DOI":"10.3390/JIMAGING6060052","ISSN":"2313433X","abstract":"Deep learning methods have been very effective for a variety of medical diagnostic tasks and have even outperformed human experts on some of those. However, the black-box nature of the algorithms has restricted their clinical use. Recent explainability studies aim to show the features that influence the decision of a model the most. The majority of literature reviews of this area have focused on taxonomy, ethics, and the need for explanations. A review of the current applications of explainable deep learning for different medical imaging tasks is presented here. The various approaches, challenges for clinical deployment, and the areas requiring further research are discussed here from a practical standpoint of a deep learning researcher designing a system for the clinical end-users.","author":[{"dropping-particle":"","family":"Singh","given":"Amitojdeep","non-dropping-particle":"","parse-names":false,"suffix":""},{"dropping-particle":"","family":"Sengupta","given":"Sourya","non-dropping-particle":"","parse-names":false,"suffix":""},{"dropping-particle":"","family":"Lakshminarayanan","given":"Vasudevan","non-dropping-particle":"","parse-names":false,"suffix":""}],"container-title":"Journal of Imaging","id":"ITEM-1","issue":"6","issued":{"date-parts":[["2020","6","20"]]},"page":"52","publisher":"MDPI AG","title":"Explainable deep learning models in medical image analysis","type":"article","volume":"6"},"uris":["http://www.mendeley.com/documents/?uuid=f0dfb458-0b79-3014-ac39-e4752b300be1"]}],"mendeley":{"formattedCitation":"(Singh et al., 2020)","manualFormatting":"Singh et al., (2020)","plainTextFormattedCitation":"(Singh et al., 2020)","previouslyFormattedCitation":"(Singh et al., 2020)"},"properties":{"noteIndex":0},"schema":"https://github.com/citation-style-language/schema/raw/master/csl-citation.json"}</w:instrText>
      </w:r>
      <w:r w:rsidR="005A46D7">
        <w:rPr>
          <w:rFonts w:ascii="Times New Roman" w:eastAsia="Times New Roman" w:hAnsi="Times New Roman" w:cs="Times New Roman"/>
          <w:sz w:val="24"/>
          <w:szCs w:val="20"/>
        </w:rPr>
        <w:fldChar w:fldCharType="separate"/>
      </w:r>
      <w:r w:rsidR="005A46D7" w:rsidRPr="005A46D7">
        <w:rPr>
          <w:rFonts w:ascii="Times New Roman" w:eastAsia="Times New Roman" w:hAnsi="Times New Roman" w:cs="Times New Roman"/>
          <w:noProof/>
          <w:sz w:val="24"/>
          <w:szCs w:val="20"/>
        </w:rPr>
        <w:t xml:space="preserve">Singh et al., </w:t>
      </w:r>
      <w:r w:rsidR="005A46D7">
        <w:rPr>
          <w:rFonts w:ascii="Times New Roman" w:eastAsia="Times New Roman" w:hAnsi="Times New Roman" w:cs="Times New Roman"/>
          <w:noProof/>
          <w:sz w:val="24"/>
          <w:szCs w:val="20"/>
        </w:rPr>
        <w:t>(</w:t>
      </w:r>
      <w:r w:rsidR="005A46D7" w:rsidRPr="005A46D7">
        <w:rPr>
          <w:rFonts w:ascii="Times New Roman" w:eastAsia="Times New Roman" w:hAnsi="Times New Roman" w:cs="Times New Roman"/>
          <w:noProof/>
          <w:sz w:val="24"/>
          <w:szCs w:val="20"/>
        </w:rPr>
        <w:t>2020)</w:t>
      </w:r>
      <w:r w:rsidR="005A46D7">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 xml:space="preserve"> showed that Grad-CAM visualizations increased radiologist trust in AI predictions for chest X-ray classification. Similarly, </w:t>
      </w:r>
      <w:r w:rsidR="005A46D7">
        <w:rPr>
          <w:rFonts w:ascii="Times New Roman" w:eastAsia="Times New Roman" w:hAnsi="Times New Roman" w:cs="Times New Roman"/>
          <w:sz w:val="24"/>
          <w:szCs w:val="20"/>
        </w:rPr>
        <w:fldChar w:fldCharType="begin" w:fldLock="1"/>
      </w:r>
      <w:r w:rsidR="00E43051">
        <w:rPr>
          <w:rFonts w:ascii="Times New Roman" w:eastAsia="Times New Roman" w:hAnsi="Times New Roman" w:cs="Times New Roman"/>
          <w:sz w:val="24"/>
          <w:szCs w:val="20"/>
        </w:rPr>
        <w:instrText>ADDIN CSL_CITATION {"citationItems":[{"id":"ITEM-1","itemData":{"DOI":"10.1016/J.MEDIA.2022.102470","ISSN":"1361-8415","PMID":"35576821","abstract":"With an increase in deep learning-based methods, the call for explainability of such methods grows, especially in high-stakes decision making areas such as medical image analysis. This survey presents an overview of explainable artificial intelligence (XAI) used in deep learning-based medical image analysis. A framework of XAI criteria is introduced to classify deep learning-based medical image analysis methods. Papers on XAI techniques in medical image analysis are then surveyed and categorized according to the framework and according to anatomical location. The paper concludes with an outlook of future opportunities for XAI in medical image analysis.","author":[{"dropping-particle":"","family":"Velden","given":"Bas H.M.","non-dropping-particle":"van der","parse-names":false,"suffix":""},{"dropping-particle":"","family":"Kuijf","given":"Hugo J.","non-dropping-particle":"","parse-names":false,"suffix":""},{"dropping-particle":"","family":"Gilhuijs","given":"Kenneth G.A.","non-dropping-particle":"","parse-names":false,"suffix":""},{"dropping-particle":"","family":"Viergever","given":"Max A.","non-dropping-particle":"","parse-names":false,"suffix":""}],"container-title":"Medical Image Analysis","id":"ITEM-1","issued":{"date-parts":[["2022","7","1"]]},"page":"102470","publisher":"Elsevier","title":"Explainable artificial intelligence (XAI) in deep learning-based medical image analysis","type":"article-journal","volume":"79"},"uris":["http://www.mendeley.com/documents/?uuid=4a68a878-e2b1-3a0b-9d5d-08bc60968fb5"]}],"mendeley":{"formattedCitation":"(van der Velden et al., 2022)","manualFormatting":"van der Velden et al., (2022)","plainTextFormattedCitation":"(van der Velden et al., 2022)","previouslyFormattedCitation":"(van der Velden et al., 2022)"},"properties":{"noteIndex":0},"schema":"https://github.com/citation-style-language/schema/raw/master/csl-citation.json"}</w:instrText>
      </w:r>
      <w:r w:rsidR="005A46D7">
        <w:rPr>
          <w:rFonts w:ascii="Times New Roman" w:eastAsia="Times New Roman" w:hAnsi="Times New Roman" w:cs="Times New Roman"/>
          <w:sz w:val="24"/>
          <w:szCs w:val="20"/>
        </w:rPr>
        <w:fldChar w:fldCharType="separate"/>
      </w:r>
      <w:r w:rsidR="005A46D7" w:rsidRPr="005A46D7">
        <w:rPr>
          <w:rFonts w:ascii="Times New Roman" w:eastAsia="Times New Roman" w:hAnsi="Times New Roman" w:cs="Times New Roman"/>
          <w:noProof/>
          <w:sz w:val="24"/>
          <w:szCs w:val="20"/>
        </w:rPr>
        <w:t xml:space="preserve">van der Velden et al., </w:t>
      </w:r>
      <w:r w:rsidR="005A46D7">
        <w:rPr>
          <w:rFonts w:ascii="Times New Roman" w:eastAsia="Times New Roman" w:hAnsi="Times New Roman" w:cs="Times New Roman"/>
          <w:noProof/>
          <w:sz w:val="24"/>
          <w:szCs w:val="20"/>
        </w:rPr>
        <w:t>(</w:t>
      </w:r>
      <w:r w:rsidR="005A46D7" w:rsidRPr="005A46D7">
        <w:rPr>
          <w:rFonts w:ascii="Times New Roman" w:eastAsia="Times New Roman" w:hAnsi="Times New Roman" w:cs="Times New Roman"/>
          <w:noProof/>
          <w:sz w:val="24"/>
          <w:szCs w:val="20"/>
        </w:rPr>
        <w:t>2022)</w:t>
      </w:r>
      <w:r w:rsidR="005A46D7">
        <w:rPr>
          <w:rFonts w:ascii="Times New Roman" w:eastAsia="Times New Roman" w:hAnsi="Times New Roman" w:cs="Times New Roman"/>
          <w:sz w:val="24"/>
          <w:szCs w:val="20"/>
        </w:rPr>
        <w:fldChar w:fldCharType="end"/>
      </w:r>
      <w:r w:rsidRPr="001B0442">
        <w:rPr>
          <w:rFonts w:ascii="Times New Roman" w:eastAsia="Times New Roman" w:hAnsi="Times New Roman" w:cs="Times New Roman"/>
          <w:sz w:val="24"/>
          <w:szCs w:val="20"/>
        </w:rPr>
        <w:t xml:space="preserve"> reviewed XAI applications in medical imaging and concluded that attention maps enhance clinical interpretability and facilitate regulatory approval.</w:t>
      </w:r>
    </w:p>
    <w:p w:rsidR="008E4717" w:rsidRPr="008E4717" w:rsidRDefault="008E4717" w:rsidP="00695EBF">
      <w:pPr>
        <w:pStyle w:val="Heading2"/>
        <w:rPr>
          <w:rFonts w:eastAsiaTheme="majorEastAsia"/>
        </w:rPr>
      </w:pPr>
      <w:r w:rsidRPr="008E4717">
        <w:rPr>
          <w:rFonts w:eastAsiaTheme="majorEastAsia"/>
        </w:rPr>
        <w:t>4.3 Clinical Implications</w:t>
      </w:r>
    </w:p>
    <w:p w:rsidR="00D2723C" w:rsidRPr="00D2723C" w:rsidRDefault="00D2723C" w:rsidP="00D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723C">
        <w:rPr>
          <w:rFonts w:ascii="Times New Roman" w:eastAsia="Times New Roman" w:hAnsi="Times New Roman" w:cs="Times New Roman"/>
          <w:sz w:val="24"/>
          <w:szCs w:val="24"/>
        </w:rPr>
        <w:t xml:space="preserve">The high specificity (88.0%) suggests our model reliably identifies normal cases, potentially reducing unnecessary follow-up examinations and associated healthcare costs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{"citationItems":[{"id":"ITEM-1","itemData":{"DOI":"10.1371/JOURNAL.PMED.1002686","ISBN":"1111111111","ISSN":"1549-1676","PMID":"30457988","abstract":"Background Chest radiograph interpretation is critical for the detection of thoracic diseases, including tuberculosis and lung cancer, which affect millions of people worldwide each year. This time-consuming task typically requires expert radiologists to read the images, leading to fatigue-based diagnostic error and lack of diagnostic expertise in areas of the world where radiologists are not available. Recently, deep learning approaches have been able to achieve expert-level performance in medical image interpretation tasks, powered by large network architectures and fueled by the emergence of large labeled datasets. The purpose of this study is to investigate the performance of a deep learning algorithm on the detection of pathologies in chest radiographs compared with practicing radiologists.   Methods and findings We developed CheXNeXt, a convolutional neural network to concurrently detect the presence of 14 different pathologies, including pneumonia, pleural effusion, pulmonary masses, and nodules in frontal-view chest radiographs. CheXNeXt was trained and internally validated on the ChestX-ray8 dataset, with a held-out validation set consisting of 420 images, sampled to contain at least 50 cases of each of the original pathology labels. On this validation set, the majority vote of a panel of 3 board-certified cardiothoracic specialist radiologists served as reference standard. We compared CheXNeXt’s discriminative performance on the validation set to the performance of 9 radiologists using the area under the receiver operating characteristic curve (AUC). The radiologists included 6 board-certified radiologists (average experience 12 years, range 4–28 years) and 3 senior radiology residents, from 3 academic institutions. We found that CheXNeXt achieved radiologist-level performance on 11 pathologies and did not achieve radiologist-level performance on 3 pathologies. The radiologists achieved statistically significantly higher AUC performance on cardiomegaly, emphysema, and hiatal hernia, with AUCs of 0.888 (95% confidence interval [CI] 0.863–0.910), 0.911 (95% CI 0.866–0.947), and 0.985 (95% CI 0.974–0.991), respectively, whereas CheXNeXt’s AUCs were 0.831 (95% CI 0.790–0.870), 0.704 (95% CI 0.567–0.833), and 0.851 (95% CI 0.785–0.909), respectively. CheXNeXt performed better than radiologists in detecting atelectasis, with an AUC of 0.862 (95% CI 0.825–0.895), statistically significantly higher than radiologists' AUC of 0.808 (95% CI 0.777–0.838);…","author":[{"dropping-particle":"","family":"Rajpurkar","given":"Pranav","non-dropping-particle":"","parse-names":false,"suffix":""},{"dropping-particle":"","family":"Irvin","given":"Jeremy","non-dropping-particle":"","parse-names":false,"suffix":""},{"dropping-particle":"","family":"Ball","given":"Robyn L.","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Langlotz","given":"Curtis P.","non-dropping-particle":"","parse-names":false,"suffix":""},{"dropping-particle":"","family":"Patel","given":"Bhavik N.","non-dropping-particle":"","parse-names":false,"suffix":""},{"dropping-particle":"","family":"Yeom","given":"Kristen W.","non-dropping-particle":"","parse-names":false,"suffix":""},{"dropping-particle":"","family":"Shpanskaya","given":"Katie","non-dropping-particle":"","parse-names":false,"suffix":""},{"dropping-particle":"","family":"Blankenberg","given":"Francis G.","non-dropping-particle":"","parse-names":false,"suffix":""},{"dropping-particle":"","family":"Seekins","given":"Jayne","non-dropping-particle":"","parse-names":false,"suffix":""},{"dropping-particle":"","family":"Amrhein","given":"Timothy J.","non-dropping-particle":"","parse-names":false,"suffix":""},{"dropping-particle":"","family":"Mong","given":"David A.","non-dropping-particle":"","parse-names":false,"suffix":""},{"dropping-particle":"","family":"Halabi","given":"Safwan S.","non-dropping-particle":"","parse-names":false,"suffix":""},{"dropping-particle":"","family":"Zucker","given":"Evan J.","non-dropping-particle":"","parse-names":false,"suffix":""},{"dropping-particle":"","family":"Ng","given":"Andrew Y.","non-dropping-particle":"","parse-names":false,"suffix":""},{"dropping-particle":"","family":"Lungren","given":"Matthew P.","non-dropping-particle":"","parse-names":false,"suffix":""}],"container-title":"PLOS Medicine","id":"ITEM-1","issue":"11","issued":{"date-parts":[["2018","11","1"]]},"page":"e1002686","publisher":"Public Library of Science","title":"Deep learning for chest radiograph diagnosis: A retrospective comparison of the CheXNeXt algorithm to practicing radiologists","type":"article-journal","volume":"15"},"uris":["http://www.mendeley.com/documents/?uuid=18dbb737-44d4-3f84-83e0-34a7af9a29f0"]}],"mendeley":{"formattedCitation":"(Rajpurkar et al., 2018)","plainTextFormattedCitation":"(Rajpurkar et al., 2018)","previouslyFormattedCitation":"(Rajpurkar et al., 2018)"},"properties":{"noteIndex":0},"schema":"https://github.com/citation-style-language/schema/raw/master/csl-citation.json"}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(Rajpurkar et al., 2018)</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 xml:space="preserve">. The 82.0% sensitivity indicates the model </w:t>
      </w:r>
      <w:r>
        <w:rPr>
          <w:rFonts w:ascii="Times New Roman" w:eastAsia="Times New Roman" w:hAnsi="Times New Roman" w:cs="Times New Roman"/>
          <w:sz w:val="24"/>
          <w:szCs w:val="24"/>
        </w:rPr>
        <w:t xml:space="preserve">captures most edema cases while </w:t>
      </w:r>
      <w:r w:rsidRPr="00D2723C">
        <w:rPr>
          <w:rFonts w:ascii="Times New Roman" w:eastAsia="Times New Roman" w:hAnsi="Times New Roman" w:cs="Times New Roman"/>
          <w:sz w:val="24"/>
          <w:szCs w:val="24"/>
        </w:rPr>
        <w:t xml:space="preserve">missing 18% - a clinically acceptable trade-off that could be improved with additional training data or ensemble methods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{"citationItems":[{"id":"ITEM-1","itemData":{"DOI":"10.1007/3-540-45014-9_1/SAVE-RESEARCH","ISBN":"3540677046","ISSN":"16113349","abstract":"Ensemble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 © Springer-Verlag Berlin Heidelberg 2000.","author":[{"dropping-particle":"","family":"Dietterich","given":"Thomas G.","non-dropping-particle":"","parse-names":false,"suffix":""}],"container-title":"Lecture Notes in Computer Science (including subseries Lecture Notes in Artificial Intelligence and Lecture Notes in Bioinformatics)","id":"ITEM-1","issued":{"date-parts":[["2000"]]},"page":"1-15","publisher":"Springer Verlag","title":"Ensemble methods in machine learning","type":"article-journal","volume":"1857 LNCS"},"uris":["http://www.mendeley.com/documents/?uuid=bd7dc870-8582-31d4-9f9e-46d45851a632"]}],"mendeley":{"formattedCitation":"(Dietterich, 2000)","plainTextFormattedCitation":"(Dietterich, 2000)","previouslyFormattedCitation":"(Dietterich, 2000)"},"properties":{"noteIndex":0},"schema":"https://github.com/citation-style-language/schema/raw/master/csl-citation.json"}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(Dietterich, 2000)</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w:t>
      </w:r>
    </w:p>
    <w:p w:rsidR="00D2723C" w:rsidRPr="00D2723C" w:rsidRDefault="00D2723C" w:rsidP="00D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723C">
        <w:rPr>
          <w:rFonts w:ascii="Times New Roman" w:eastAsia="Times New Roman" w:hAnsi="Times New Roman" w:cs="Times New Roman"/>
          <w:sz w:val="24"/>
          <w:szCs w:val="24"/>
        </w:rPr>
        <w:t xml:space="preserve">The Grad-CAM attention maps enhance clinical trust by showing that the model focuses on anatomically appropriate regions. Perihilar and interstitial attention patterns are consistent with radiological criteria for pulmonary edema diagnosis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{"citationItems":[{"id":"ITEM-1","itemData":{"DOI":"10.1148/RADIOL.2462070712/ASSET/IMAGES/R08FE34G71X.JPEG","ISSN":"00338419","PMID":"18195376","abstract":"Members of the Fleischner Society compiled a glossary of terms for thoracic imaging that replaces previous glossaries published in 1984 and 1996 for thoracic radiography and computed tomography (CT), respectively. The need to update the previous versions came from the recognition that new words have emerged, others have become obsolete, and the meaning of some terms has changed. Brief descriptions of some diseases are included, and pictorial examples (chest radiographs and CT scans) are provided for the majority of terms. © RSNA, 2008.","author":[{"dropping-particle":"","family":"Hansell","given":"David M.","non-dropping-particle":"","parse-names":false,"suffix":""},{"dropping-particle":"","family":"Bankier","given":"Alexander A.","non-dropping-particle":"","parse-names":false,"suffix":""},{"dropping-particle":"","family":"MacMahon","given":"Heber","non-dropping-particle":"","parse-names":false,"suffix":""},{"dropping-particle":"","family":"McLoud","given":"Theresa C.","non-dropping-particle":"","parse-names":false,"suffix":""},{"dropping-particle":"","family":"Müller","given":"Nestor L.","non-dropping-particle":"","parse-names":false,"suffix":""},{"dropping-particle":"","family":"Remy","given":"Jacques","non-dropping-particle":"","parse-names":false,"suffix":""}],"container-title":"Radiology","id":"ITEM-1","issue":"3","issued":{"date-parts":[["2008","3","1"]]},"page":"697-722","publisher":"Radiological Society of North America","title":"Fleischner Society: Glossary of terms for thoracic imaging","type":"article-journal","volume":"246"},"uris":["http://www.mendeley.com/documents/?uuid=bfd57ac8-87a5-3521-a8f1-a224ec75ece9"]},{"id":"ITEM-2","itemData":{"DOI":"10.2214/AJR.144.5.879","ISBN":"196.43.77.188","ISSN":"0361803X","PMID":"3872571","abstract":"Improvement in the ability to determine the specific cause of any given case of pulmonary edema would lead to more rapid and definitive treatment. \"Wedge\" pressures and measurements of cardiac outp...","author":[{"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dropping-particle":"","family":"Milne","given":"EN","non-dropping-particle":"","parse-names":false,"suffix":""},{"dropping-particle":"","family":"Pistolesi","given":"M","non-dropping-particle":"","parse-names":false,"suffix":""},{"dropping-particle":"","family":"Miniati","given":"M","non-dropping-particle":"","parse-names":false,"suffix":""},{"dropping-particle":"","family":"Giuntini","given":"C","non-dropping-particle":"","parse-names":false,"suffix":""}],"container-title":"https://www.ajronline.org/","id":"ITEM-2","issue":"5","issued":{"date-parts":[["2012","11","23"]]},"page":"879-894","publisher":"American Roentgen Ray Society","title":"The radiologic distinction of cardiogenic and noncardiogenic edema","type":"article-journal","volume":"144"},"uris":["http://www.mendeley.com/documents/?uuid=e2ea7f9f-d5dd-338f-8cb4-83f38dd7cc54"]}],"mendeley":{"formattedCitation":"(Hansell et al., 2008; Milne et al., 2012)","plainTextFormattedCitation":"(Hansell et al., 2008; Milne et al., 2012)","previouslyFormattedCitation":"(Hansell et al., 2008; Milne et al., 2012)"},"properties":{"noteIndex":0},"schema":"https://github.com/citation-style-language/schema/raw/master/csl-citation.json"}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(Hansell et al., 2008; Milne et al., 2012)</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 xml:space="preserve">. This transparency may facilitate AI integration into clinical workflows, serving </w:t>
      </w:r>
      <w:r w:rsidRPr="00D2723C">
        <w:rPr>
          <w:rFonts w:ascii="Times New Roman" w:eastAsia="Times New Roman" w:hAnsi="Times New Roman" w:cs="Times New Roman"/>
          <w:sz w:val="24"/>
          <w:szCs w:val="24"/>
        </w:rPr>
        <w:lastRenderedPageBreak/>
        <w:t xml:space="preserve">as a second reader or triage tool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25:1","id":"ITEM-1","issue":"1","issued":{"date-parts":[["2019","1","7"]]},"page":"24-29","publisher":"Nature Publishing Group","title":"A guide to deep learning in healthcare","type":"article-journal","volume":"25"},"uris":["http://www.mendeley.com/documents/?uuid=c79cfa70-1e60-3f2a-a05e-10cce4e19c5f"]}],"mendeley":{"formattedCitation":"(Esteva et al., 2019)","plainTextFormattedCitation":"(Esteva et al., 2019)","previouslyFormattedCitation":"(Esteva et al., 2019)"},"properties":{"noteIndex":0},"schema":"https://github.com/citation-style-language/schema/raw/master/csl-citation.json"}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(Esteva et al., 2019)</w:t>
      </w:r>
      <w:r w:rsidR="001C2C1B">
        <w:rPr>
          <w:rFonts w:ascii="Times New Roman" w:eastAsia="Times New Roman" w:hAnsi="Times New Roman" w:cs="Times New Roman"/>
          <w:sz w:val="24"/>
          <w:szCs w:val="24"/>
        </w:rPr>
        <w:fldChar w:fldCharType="end"/>
      </w:r>
      <w:r w:rsidRPr="00D2723C">
        <w:rPr>
          <w:rFonts w:ascii="Times New Roman" w:eastAsia="Times New Roman" w:hAnsi="Times New Roman" w:cs="Times New Roman"/>
          <w:sz w:val="24"/>
          <w:szCs w:val="24"/>
        </w:rPr>
        <w:t>.</w:t>
      </w:r>
    </w:p>
    <w:p w:rsidR="00D2723C" w:rsidRPr="00D2723C" w:rsidRDefault="00D2723C" w:rsidP="00695EBF">
      <w:pPr>
        <w:pStyle w:val="Heading2"/>
        <w:rPr>
          <w:rFonts w:eastAsiaTheme="majorEastAsia"/>
        </w:rPr>
      </w:pPr>
      <w:r w:rsidRPr="00D2723C">
        <w:rPr>
          <w:rFonts w:eastAsiaTheme="majorEastAsia"/>
        </w:rPr>
        <w:t>4.4 Limitations</w:t>
      </w:r>
    </w:p>
    <w:p w:rsidR="00D210CB" w:rsidRDefault="00D210CB" w:rsidP="00D21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10CB">
        <w:rPr>
          <w:rFonts w:ascii="Times New Roman" w:eastAsia="Times New Roman" w:hAnsi="Times New Roman" w:cs="Times New Roman"/>
          <w:sz w:val="24"/>
          <w:szCs w:val="24"/>
        </w:rPr>
        <w:t xml:space="preserve">Several limitations warrant consideration. First, the dataset was limited to 1,000 images from a single institution, and external validation on multi-institutional data is needed to assess generalizability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URL":"https://scholar.google.com/scholar?hl=en&amp;as_sdt=0%2C5&amp;q=Wang%2C+X.%2C+et+al.+%282017%29.+ChestX-ray8%3A+Hospital-scale+chest+X-ray+database+and+benchmarks+on+weakly-supervised+classification.+CVPR.&amp;btnG=","accessed":{"date-parts":[["2026","3","24"]]},"author":[{"dropping-particle":"","family":"Wang, X.","given":"et al. (2022)","non-dropping-particle":"","parse-names":false,"suffix":""}],"id":"ITEM-1","issued":{"date-parts":[["2022"]]},"title":"Wang, X., et al. (2017). ChestX-ray8: Hospital-scale... - Google Scholar","type":"webpage"},"uris":["http://www.mendeley.com/documents/?uuid=b354a95a-03d0-3f98-89a5-69f1fd5616b4"]}],"mendeley":{"formattedCitation":"(Wang, X., 2022)","plainTextFormattedCitation":"(Wang, X., 2022)","previouslyFormattedCitation":"(Wang, X., 2022)"},"properties":{"noteIndex":0},"schema":"https://github.com/citation-style-language/schema/raw/master/csl-citation.json"}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(Wang, X., 2022)</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 Second, the model was de</w:t>
      </w:r>
      <w:r>
        <w:rPr>
          <w:rFonts w:ascii="Times New Roman" w:eastAsia="Times New Roman" w:hAnsi="Times New Roman" w:cs="Times New Roman"/>
          <w:sz w:val="24"/>
          <w:szCs w:val="24"/>
        </w:rPr>
        <w:t xml:space="preserve">veloped on binary </w:t>
      </w:r>
      <w:r w:rsidRPr="00D210CB">
        <w:rPr>
          <w:rFonts w:ascii="Times New Roman" w:eastAsia="Times New Roman" w:hAnsi="Times New Roman" w:cs="Times New Roman"/>
          <w:sz w:val="24"/>
          <w:szCs w:val="24"/>
        </w:rPr>
        <w:t xml:space="preserve">classification (edema vs. normal); real-world clinical practice involves differential diagnosis with multiple pathologies including pneumonia, atelectasis, and congestive heart failure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{"citationItems":[{"id":"ITEM-1","itemData":{"DOI":"10.1148/RADIOL.2462070712/ASSET/IMAGES/R08FE34G71X.JPEG","ISSN":"00338419","PMID":"18195376","abstract":"Members of the Fleischner Society compiled a glossary of terms for thoracic imaging that replaces previous glossaries published in 1984 and 1996 for thoracic radiography and computed tomography (CT), respectively. The need to update the previous versions came from the recognition that new words have emerged, others have become obsolete, and the meaning of some terms has changed. Brief descriptions of some diseases are included, and pictorial examples (chest radiographs and CT scans) are provided for the majority of terms. © RSNA, 2008.","author":[{"dropping-particle":"","family":"Hansell","given":"David M.","non-dropping-particle":"","parse-names":false,"suffix":""},{"dropping-particle":"","family":"Bankier","given":"Alexander A.","non-dropping-particle":"","parse-names":false,"suffix":""},{"dropping-particle":"","family":"MacMahon","given":"Heber","non-dropping-particle":"","parse-names":false,"suffix":""},{"dropping-particle":"","family":"McLoud","given":"Theresa C.","non-dropping-particle":"","parse-names":false,"suffix":""},{"dropping-particle":"","family":"Müller","given":"Nestor L.","non-dropping-particle":"","parse-names":false,"suffix":""},{"dropping-particle":"","family":"Remy","given":"Jacques","non-dropping-particle":"","parse-names":false,"suffix":""}],"container-title":"Radiology","id":"ITEM-1","issue":"3","issued":{"date-parts":[["2008","3","1"]]},"page":"697-722","publisher":"Radiological Society of North America","title":"Fleischner Society: Glossary of terms for thoracic imaging","type":"article-journal","volume":"246"},"uris":["http://www.mendeley.com/documents/?uuid=bfd57ac8-87a5-3521-a8f1-a224ec75ece9"]}],"mendeley":{"formattedCitation":"(Hansell et al., 2008)","plainTextFormattedCitation":"(Hansell et al., 2008)","previouslyFormattedCitation":"(Hansell et al., 2008)"},"properties":{"noteIndex":0},"schema":"https://github.com/citation-style-language/schema/raw/master/csl-citation.json"}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(Hansell et al., 2008)</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 xml:space="preserve">. Third, Grad-CAM provides approximate localization rather than precise segmentation, which may have limitations for small or subtle findings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{"citationItems":[{"id":"ITEM-1","itemData":{"DOI":"10.1007/S11263-019-01228-7/FIGURES/21","ISSN":"15731405","abstract":"We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and…","author":[{"dropping-particle":"","family":"Selvaraju","given":"Ramprasaath R.","non-dropping-particle":"","parse-names":false,"suffix":""},{"dropping-particle":"","family":"Cogswell","given":"Michael","non-dropping-particle":"","parse-names":false,"suffix":""},{"dropping-particle":"","family":"Das","given":"Abhishek","non-dropping-particle":"","parse-names":false,"suffix":""},{"dropping-particle":"","family":"Vedantam","given":"Ramakrishna","non-dropping-particle":"","parse-names":false,"suffix":""},{"dropping-particle":"","family":"Parikh","given":"Devi","non-dropping-particle":"","parse-names":false,"suffix":""},{"dropping-particle":"","family":"Batra","given":"Dhruv","non-dropping-particle":"","parse-names":false,"suffix":""}],"container-title":"International Journal of Computer Vision","id":"ITEM-1","issue":"2","issued":{"date-parts":[["2020","2","1"]]},"page":"336-359","publisher":"Springer","title":"Grad-CAM: Visual Explanations from Deep Networks via Gradient-Based Localization","type":"article-journal","volume":"128"},"uris":["http://www.mendeley.com/documents/?uuid=5af1885e-465e-3d71-9d40-5b71ed87cafb"]}],"mendeley":{"formattedCitation":"(Selvaraju et al., 2020)","plainTextFormattedCitation":"(Selvaraju et al., 2020)","previouslyFormattedCitation":"(Selvaraju et al., 2020)"},"properties":{"noteIndex":0},"schema":"https://github.com/citation-style-language/schema/raw/master/csl-citation.json"}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(Selvaraju et al., 2020)</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210CB">
        <w:rPr>
          <w:rFonts w:ascii="Times New Roman" w:eastAsia="Times New Roman" w:hAnsi="Times New Roman" w:cs="Times New Roman"/>
          <w:sz w:val="24"/>
          <w:szCs w:val="24"/>
        </w:rPr>
        <w:t xml:space="preserve">Fourth, the dataset may contain inherent biases related to patient demographics, imaging equipment, or annotation protocols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{"citationItems":[{"id":"ITEM-1","itemData":{"DOI":"10.1038/s41591-023-02608-w","ISSN":"1546-170X","PMID":"37884627","abstract":"Artificial intelligence as a medical device is increasingly being applied to healthcare for diagnosis, risk stratification and resource allocation. However, a growing body of evidence has highlighted the risk of algorithmic bias, which may perpetuate existing health inequity. This problem arises in part because of systemic inequalities in dataset curation, unequal opportunity to participate in research and inequalities of access. This study aims to explore existing standards, frameworks and best practices for ensuring adequate data diversity in health datasets. Exploring the body of existing literature and expert views is an important step towards the development of consensus-based guidelines. The study comprises two parts: a systematic review of existing standards, frameworks and best practices for healthcare datasets; and a survey and thematic analysis of stakeholder views of bias, health equity and best practices for artificial intelligence as a medical device. We found that the need for dataset diversity was well described in literature, and experts generally favored the development of a robust set of guidelines, but there were mixed views about how these could be implemented practically. The outputs of this study will be used to inform the development of standards for transparency of data diversity in health datasets (the STANDING Together initiative). A systematic review, combined with a stakeholder survey, presents an overview of current practices and recommendations for dataset curation in health, with specific focuses on data diversity and artificial intelligence-based applications.","author":[{"dropping-particle":"","family":"Arora","given":"Anmol","non-dropping-particle":"","parse-names":false,"suffix":""},{"dropping-particle":"","family":"Alderman","given":"Joseph E.","non-dropping-particle":"","parse-names":false,"suffix":""},{"dropping-particle":"","family":"Palmer","given":"Joanne","non-dropping-particle":"","parse-names":false,"suffix":""},{"dropping-particle":"","family":"Ganapathi","given":"Shaswath","non-dropping-particle":"","parse-names":false,"suffix":""},{"dropping-particle":"","family":"Laws","given":"Elinor","non-dropping-particle":"","parse-names":false,"suffix":""},{"dropping-particle":"","family":"McCradden","given":"Melissa D.","non-dropping-particle":"","parse-names":false,"suffix":""},{"dropping-particle":"","family":"Oakden-Rayner","given":"Lauren","non-dropping-particle":"","parse-names":false,"suffix":""},{"dropping-particle":"","family":"Pfohl","given":"Stephen R.","non-dropping-particle":"","parse-names":false,"suffix":""},{"dropping-particle":"","family":"Ghassemi","given":"Marzyeh","non-dropping-particle":"","parse-names":false,"suffix":""},{"dropping-particle":"","family":"McKay","given":"Francis","non-dropping-particle":"","parse-names":false,"suffix":""},{"dropping-particle":"","family":"Treanor","given":"Darren","non-dropping-particle":"","parse-names":false,"suffix":""},{"dropping-particle":"","family":"Rostamzadeh","given":"Negar","non-dropping-particle":"","parse-names":false,"suffix":""},{"dropping-particle":"","family":"Mateen","given":"Bilal","non-dropping-particle":"","parse-names":false,"suffix":""},{"dropping-particle":"","family":"Gath","given":"Jacqui","non-dropping-particle":"","parse-names":false,"suffix":""},{"dropping-particle":"","family":"Adebajo","given":"Adewole O.","non-dropping-particle":"","parse-names":false,"suffix":""},{"dropping-particle":"","family":"Kuku","given":"Stephanie","non-dropping-particle":"","parse-names":false,"suffix":""},{"dropping-particle":"","family":"Matin","given":"Rubeta","non-dropping-particle":"","parse-names":false,"suffix":""},{"dropping-particle":"","family":"Heller","given":"Katherine","non-dropping-particle":"","parse-names":false,"suffix":""},{"dropping-particle":"","family":"Sapey","given":"Elizabeth","non-dropping-particle":"","parse-names":false,"suffix":""},{"dropping-particle":"","family":"Sebire","given":"Neil J.","non-dropping-particle":"","parse-names":false,"suffix":""},{"dropping-particle":"","family":"Cole-Lewis","given":"Heather","non-dropping-particle":"","parse-names":false,"suffix":""},{"dropping-particle":"","family":"Calvert","given":"Melanie","non-dropping-particle":"","parse-names":false,"suffix":""},{"dropping-particle":"","family":"Denniston","given":"Alastair","non-dropping-particle":"","parse-names":false,"suffix":""},{"dropping-particle":"","family":"Liu","given":"Xiaoxuan","non-dropping-particle":"","parse-names":false,"suffix":""}],"container-title":"Nature Medicine 2023 29:11","id":"ITEM-1","issue":"11","issued":{"date-parts":[["2023","10","26"]]},"page":"2929-2938","publisher":"Nature Publishing Group","title":"The value of standards for health datasets in artificial intelligence-based applications","type":"article-journal","volume":"29"},"uris":["http://www.mendeley.com/documents/?uuid=c11145be-61f2-3705-b14c-cba105f61aa7"]}],"mendeley":{"formattedCitation":"(Arora et al., 2023)","plainTextFormattedCitation":"(Arora et al., 2023)","previouslyFormattedCitation":"(Arora et al., 2023)"},"properties":{"noteIndex":0},"schema":"https://github.com/citation-style-language/schema/raw/master/csl-citation.json"}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(Arora et al., 2023)</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 xml:space="preserve">. Fifth, we did not perform a reader study comparing model performance to radiologists, </w:t>
      </w:r>
      <w:r>
        <w:rPr>
          <w:rFonts w:ascii="Times New Roman" w:eastAsia="Times New Roman" w:hAnsi="Times New Roman" w:cs="Times New Roman"/>
          <w:sz w:val="24"/>
          <w:szCs w:val="24"/>
        </w:rPr>
        <w:t xml:space="preserve">which would </w:t>
      </w:r>
      <w:r w:rsidRPr="00D210CB">
        <w:rPr>
          <w:rFonts w:ascii="Times New Roman" w:eastAsia="Times New Roman" w:hAnsi="Times New Roman" w:cs="Times New Roman"/>
          <w:sz w:val="24"/>
          <w:szCs w:val="24"/>
        </w:rPr>
        <w:t xml:space="preserve">strengthen clinical validation </w:t>
      </w:r>
      <w:r w:rsidR="001C2C1B">
        <w:rPr>
          <w:rFonts w:ascii="Times New Roman" w:eastAsia="Times New Roman" w:hAnsi="Times New Roman" w:cs="Times New Roman"/>
          <w:sz w:val="24"/>
          <w:szCs w:val="24"/>
        </w:rPr>
        <w:fldChar w:fldCharType="begin" w:fldLock="1"/>
      </w:r>
      <w:r w:rsidR="00E43051">
        <w:rPr>
          <w:rFonts w:ascii="Times New Roman" w:eastAsia="Times New Roman" w:hAnsi="Times New Roman" w:cs="Times New Roman"/>
          <w:sz w:val="24"/>
          <w:szCs w:val="24"/>
        </w:rPr>
        <w:instrText>ADDIN CSL_CITATION {"citationItems":[{"id":"ITEM-1","itemData":{"DOI":"10.1371/JOURNAL.PMED.1002686","ISBN":"1111111111","ISSN":"1549-1676","PMID":"30457988","abstract":"Background Chest radiograph interpretation is critical for the detection of thoracic diseases, including tuberculosis and lung cancer, which affect millions of people worldwide each year. This time-consuming task typically requires expert radiologists to read the images, leading to fatigue-based diagnostic error and lack of diagnostic expertise in areas of the world where radiologists are not available. Recently, deep learning approaches have been able to achieve expert-level performance in medical image interpretation tasks, powered by large network architectures and fueled by the emergence of large labeled datasets. The purpose of this study is to investigate the performance of a deep learning algorithm on the detection of pathologies in chest radiographs compared with practicing radiologists.   Methods and findings We developed CheXNeXt, a convolutional neural network to concurrently detect the presence of 14 different pathologies, including pneumonia, pleural effusion, pulmonary masses, and nodules in frontal-view chest radiographs. CheXNeXt was trained and internally validated on the ChestX-ray8 dataset, with a held-out validation set consisting of 420 images, sampled to contain at least 50 cases of each of the original pathology labels. On this validation set, the majority vote of a panel of 3 board-certified cardiothoracic specialist radiologists served as reference standard. We compared CheXNeXt’s discriminative performance on the validation set to the performance of 9 radiologists using the area under the receiver operating characteristic curve (AUC). The radiologists included 6 board-certified radiologists (average experience 12 years, range 4–28 years) and 3 senior radiology residents, from 3 academic institutions. We found that CheXNeXt achieved radiologist-level performance on 11 pathologies and did not achieve radiologist-level performance on 3 pathologies. The radiologists achieved statistically significantly higher AUC performance on cardiomegaly, emphysema, and hiatal hernia, with AUCs of 0.888 (95% confidence interval [CI] 0.863–0.910), 0.911 (95% CI 0.866–0.947), and 0.985 (95% CI 0.974–0.991), respectively, whereas CheXNeXt’s AUCs were 0.831 (95% CI 0.790–0.870), 0.704 (95% CI 0.567–0.833), and 0.851 (95% CI 0.785–0.909), respectively. CheXNeXt performed better than radiologists in detecting atelectasis, with an AUC of 0.862 (95% CI 0.825–0.895), statistically significantly higher than radiologists' AUC of 0.808 (95% CI 0.777–0.838);…","author":[{"dropping-particle":"","family":"Rajpurkar","given":"Pranav","non-dropping-particle":"","parse-names":false,"suffix":""},{"dropping-particle":"","family":"Irvin","given":"Jeremy","non-dropping-particle":"","parse-names":false,"suffix":""},{"dropping-particle":"","family":"Ball","given":"Robyn L.","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Langlotz","given":"Curtis P.","non-dropping-particle":"","parse-names":false,"suffix":""},{"dropping-particle":"","family":"Patel","given":"Bhavik N.","non-dropping-particle":"","parse-names":false,"suffix":""},{"dropping-particle":"","family":"Yeom","given":"Kristen W.","non-dropping-particle":"","parse-names":false,"suffix":""},{"dropping-particle":"","family":"Shpanskaya","given":"Katie","non-dropping-particle":"","parse-names":false,"suffix":""},{"dropping-particle":"","family":"Blankenberg","given":"Francis G.","non-dropping-particle":"","parse-names":false,"suffix":""},{"dropping-particle":"","family":"Seekins","given":"Jayne","non-dropping-particle":"","parse-names":false,"suffix":""},{"dropping-particle":"","family":"Amrhein","given":"Timothy J.","non-dropping-particle":"","parse-names":false,"suffix":""},{"dropping-particle":"","family":"Mong","given":"David A.","non-dropping-particle":"","parse-names":false,"suffix":""},{"dropping-particle":"","family":"Halabi","given":"Safwan S.","non-dropping-particle":"","parse-names":false,"suffix":""},{"dropping-particle":"","family":"Zucker","given":"Evan J.","non-dropping-particle":"","parse-names":false,"suffix":""},{"dropping-particle":"","family":"Ng","given":"Andrew Y.","non-dropping-particle":"","parse-names":false,"suffix":""},{"dropping-particle":"","family":"Lungren","given":"Matthew P.","non-dropping-particle":"","parse-names":false,"suffix":""}],"container-title":"PLOS Medicine","id":"ITEM-1","issue":"11","issued":{"date-parts":[["2018","11","1"]]},"page":"e1002686","publisher":"Public Library of Science","title":"Deep learning for chest radiograph diagnosis: A retrospective comparison of the CheXNeXt algorithm to practicing radiologists","type":"article-journal","volume":"15"},"uris":["http://www.mendeley.com/documents/?uuid=18dbb737-44d4-3f84-83e0-34a7af9a29f0"]}],"mendeley":{"formattedCitation":"(Rajpurkar et al., 2018)","plainTextFormattedCitation":"(Rajpurkar et al., 2018)","previouslyFormattedCitation":"(Rajpurkar et al., 2018)"},"properties":{"noteIndex":0},"schema":"https://github.com/citation-style-language/schema/raw/master/csl-citation.json"}</w:instrText>
      </w:r>
      <w:r w:rsidR="001C2C1B">
        <w:rPr>
          <w:rFonts w:ascii="Times New Roman" w:eastAsia="Times New Roman" w:hAnsi="Times New Roman" w:cs="Times New Roman"/>
          <w:sz w:val="24"/>
          <w:szCs w:val="24"/>
        </w:rPr>
        <w:fldChar w:fldCharType="separate"/>
      </w:r>
      <w:r w:rsidR="005A46D7" w:rsidRPr="005A46D7">
        <w:rPr>
          <w:rFonts w:ascii="Times New Roman" w:eastAsia="Times New Roman" w:hAnsi="Times New Roman" w:cs="Times New Roman"/>
          <w:noProof/>
          <w:sz w:val="24"/>
          <w:szCs w:val="24"/>
        </w:rPr>
        <w:t>(Rajpurkar et al., 2018)</w:t>
      </w:r>
      <w:r w:rsidR="001C2C1B">
        <w:rPr>
          <w:rFonts w:ascii="Times New Roman" w:eastAsia="Times New Roman" w:hAnsi="Times New Roman" w:cs="Times New Roman"/>
          <w:sz w:val="24"/>
          <w:szCs w:val="24"/>
        </w:rPr>
        <w:fldChar w:fldCharType="end"/>
      </w:r>
      <w:r w:rsidRPr="00D210CB">
        <w:rPr>
          <w:rFonts w:ascii="Times New Roman" w:eastAsia="Times New Roman" w:hAnsi="Times New Roman" w:cs="Times New Roman"/>
          <w:sz w:val="24"/>
          <w:szCs w:val="24"/>
        </w:rPr>
        <w:t>.</w:t>
      </w:r>
    </w:p>
    <w:p w:rsidR="00D210CB" w:rsidRPr="00D210CB" w:rsidRDefault="00D210CB" w:rsidP="00695EBF">
      <w:pPr>
        <w:pStyle w:val="Heading2"/>
      </w:pPr>
      <w:r w:rsidRPr="00D210CB">
        <w:t>4.5 Future Directions</w:t>
      </w:r>
    </w:p>
    <w:p w:rsidR="00D210CB" w:rsidRPr="00D210CB" w:rsidRDefault="00D210CB" w:rsidP="0014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210CB">
        <w:rPr>
          <w:rFonts w:ascii="Times New Roman" w:eastAsia="Times New Roman" w:hAnsi="Times New Roman" w:cs="Times New Roman"/>
          <w:sz w:val="24"/>
          <w:szCs w:val="24"/>
        </w:rPr>
        <w:t xml:space="preserve">Future work should focus on: (1) external validation on larger, diverse, multi-institutional datasets, (2) multi-class classification including differential </w:t>
      </w:r>
      <w:r w:rsidRPr="00D210CB">
        <w:rPr>
          <w:rFonts w:ascii="Times New Roman" w:eastAsia="Times New Roman" w:hAnsi="Times New Roman" w:cs="Times New Roman"/>
          <w:sz w:val="24"/>
          <w:szCs w:val="24"/>
        </w:rPr>
        <w:t>diagnoses, (3) prospective clinical validation with radiologist comparison studies, (4) integration with electronic health records for contextual decision support, and (5) development of segmentation models for precise edema localization.</w:t>
      </w:r>
    </w:p>
    <w:p w:rsidR="00145B92" w:rsidRPr="00145B92" w:rsidRDefault="00145B92" w:rsidP="00E31806">
      <w:pPr>
        <w:pStyle w:val="Heading1"/>
        <w:rPr>
          <w:rFonts w:eastAsia="Times New Roman"/>
        </w:rPr>
      </w:pPr>
      <w:r w:rsidRPr="00145B92">
        <w:rPr>
          <w:rFonts w:eastAsia="Times New Roman"/>
        </w:rPr>
        <w:t>5. CONCLUSION</w:t>
      </w:r>
    </w:p>
    <w:p w:rsidR="00D210CB" w:rsidRDefault="00D210CB" w:rsidP="00D21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145B92" w:rsidRPr="00145B92" w:rsidRDefault="00145B92" w:rsidP="0014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145B92">
        <w:rPr>
          <w:rFonts w:ascii="Times New Roman" w:eastAsia="Times New Roman" w:hAnsi="Times New Roman" w:cs="Times New Roman"/>
          <w:sz w:val="24"/>
          <w:szCs w:val="24"/>
        </w:rPr>
        <w:t>We developed an explainable AI model for pulmonary edema detection in chest X-rays using DenseNet121 with Grad-CAM visualizations. The model achieved excellent performance (AUC = 0.917, accuracy = 85.0%, sensitivity = 82.0%, specificity = 88.0%) while providing clinically interpretable attention maps. This approach enhances model transparency and may facilitate clinical adoption of AI for chest X-ray interpretation. Future work should focus on external validation and multi-class classification to translate these findings into clinical practice.</w:t>
      </w:r>
    </w:p>
    <w:p w:rsidR="00E43051" w:rsidRPr="008B6F3D" w:rsidRDefault="00E43051" w:rsidP="00E31806">
      <w:pPr>
        <w:pStyle w:val="Heading1"/>
        <w:rPr>
          <w:rFonts w:eastAsia="Times New Roman"/>
          <w:szCs w:val="20"/>
        </w:rPr>
      </w:pPr>
      <w:r w:rsidRPr="00193695">
        <w:t>REFERENCES</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Pr>
          <w:rFonts w:ascii="Times New Roman" w:hAnsi="Times New Roman" w:cs="Times New Roman"/>
          <w:sz w:val="24"/>
        </w:rPr>
        <w:fldChar w:fldCharType="begin" w:fldLock="1"/>
      </w:r>
      <w:r>
        <w:rPr>
          <w:rFonts w:ascii="Times New Roman" w:hAnsi="Times New Roman" w:cs="Times New Roman"/>
          <w:sz w:val="24"/>
        </w:rPr>
        <w:instrText xml:space="preserve">ADDIN Mendeley Bibliography CSL_BIBLIOGRAPHY </w:instrText>
      </w:r>
      <w:r>
        <w:rPr>
          <w:rFonts w:ascii="Times New Roman" w:hAnsi="Times New Roman" w:cs="Times New Roman"/>
          <w:sz w:val="24"/>
        </w:rPr>
        <w:fldChar w:fldCharType="separate"/>
      </w:r>
      <w:r w:rsidRPr="00E43051">
        <w:rPr>
          <w:rFonts w:ascii="Times New Roman" w:hAnsi="Times New Roman" w:cs="Times New Roman"/>
          <w:noProof/>
          <w:sz w:val="24"/>
          <w:szCs w:val="24"/>
        </w:rPr>
        <w:t xml:space="preserve">Arora, A., Alderman, J. E., Palmer, J., Ganapathi, S., Laws, E., McCradden, M. D., Oakden-Rayner, L., Pfohl, S. R., Ghassemi, M., McKay, F., Treanor, D., Rostamzadeh, N., Mateen, B., Gath, J., Adebajo, A. O., Kuku, S., Matin, R., Heller, K., Sapey, E., … Liu, X. (2023). The </w:t>
      </w:r>
      <w:r w:rsidRPr="00E43051">
        <w:rPr>
          <w:rFonts w:ascii="Times New Roman" w:hAnsi="Times New Roman" w:cs="Times New Roman"/>
          <w:noProof/>
          <w:sz w:val="24"/>
          <w:szCs w:val="24"/>
        </w:rPr>
        <w:lastRenderedPageBreak/>
        <w:t xml:space="preserve">value of standards for health datasets in artificial intelligence-based applications. </w:t>
      </w:r>
      <w:r w:rsidRPr="00E43051">
        <w:rPr>
          <w:rFonts w:ascii="Times New Roman" w:hAnsi="Times New Roman" w:cs="Times New Roman"/>
          <w:i/>
          <w:iCs/>
          <w:noProof/>
          <w:sz w:val="24"/>
          <w:szCs w:val="24"/>
        </w:rPr>
        <w:t>Nature Medicine 2023 29:11</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29</w:t>
      </w:r>
      <w:r w:rsidRPr="00E43051">
        <w:rPr>
          <w:rFonts w:ascii="Times New Roman" w:hAnsi="Times New Roman" w:cs="Times New Roman"/>
          <w:noProof/>
          <w:sz w:val="24"/>
          <w:szCs w:val="24"/>
        </w:rPr>
        <w:t>(11), 2929–2938. https://doi.org/10.1038/s41591-023-02608-w</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Decuyper, M., Stockhoff, M., Vandenberghe, S., &amp; Ying, X. (2019). An Overview of Overfitting and its Solutions. </w:t>
      </w:r>
      <w:r w:rsidRPr="00E43051">
        <w:rPr>
          <w:rFonts w:ascii="Times New Roman" w:hAnsi="Times New Roman" w:cs="Times New Roman"/>
          <w:i/>
          <w:iCs/>
          <w:noProof/>
          <w:sz w:val="24"/>
          <w:szCs w:val="24"/>
        </w:rPr>
        <w:t>Journal of Physics: Conference Series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1168</w:t>
      </w:r>
      <w:r w:rsidRPr="00E43051">
        <w:rPr>
          <w:rFonts w:ascii="Times New Roman" w:hAnsi="Times New Roman" w:cs="Times New Roman"/>
          <w:noProof/>
          <w:sz w:val="24"/>
          <w:szCs w:val="24"/>
        </w:rPr>
        <w:t>(2), 022022. https://doi.org/10.1088/1742-6596/1168/2/022022</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Deng, J., Dong, W., Socher, R., Li, L. J., Li, K., &amp; Fei-Fei, L. (2009). ImageNet: A Large-Scale Hierarchical Image Database. </w:t>
      </w:r>
      <w:r w:rsidRPr="00E43051">
        <w:rPr>
          <w:rFonts w:ascii="Times New Roman" w:hAnsi="Times New Roman" w:cs="Times New Roman"/>
          <w:i/>
          <w:iCs/>
          <w:noProof/>
          <w:sz w:val="24"/>
          <w:szCs w:val="24"/>
        </w:rPr>
        <w:t>2009 IEEE Conference on Computer Vision and Pattern Recognition, CVPR 2009</w:t>
      </w:r>
      <w:r w:rsidRPr="00E43051">
        <w:rPr>
          <w:rFonts w:ascii="Times New Roman" w:hAnsi="Times New Roman" w:cs="Times New Roman"/>
          <w:noProof/>
          <w:sz w:val="24"/>
          <w:szCs w:val="24"/>
        </w:rPr>
        <w:t>, 248–255. https://doi.org/10.1109/CVPR.2009.5206848</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Dietterich, T. G. (2000). Ensemble methods in machine learning. </w:t>
      </w:r>
      <w:r w:rsidRPr="00E43051">
        <w:rPr>
          <w:rFonts w:ascii="Times New Roman" w:hAnsi="Times New Roman" w:cs="Times New Roman"/>
          <w:i/>
          <w:iCs/>
          <w:noProof/>
          <w:sz w:val="24"/>
          <w:szCs w:val="24"/>
        </w:rPr>
        <w:t>Lecture Notes in Computer Science (Including Subseries Lecture Notes in Artificial Intelligence and Lecture Notes in Bioinformatics)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1857 LNCS</w:t>
      </w:r>
      <w:r w:rsidRPr="00E43051">
        <w:rPr>
          <w:rFonts w:ascii="Times New Roman" w:hAnsi="Times New Roman" w:cs="Times New Roman"/>
          <w:noProof/>
          <w:sz w:val="24"/>
          <w:szCs w:val="24"/>
        </w:rPr>
        <w:t>, 1–15. https://doi.org/10.1007/3-540-45014-9_1/SAVE-RESEARCH</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Esteva, A., Robicquet, A., Ramsundar, B., Kuleshov, V., DePristo, M., Chou, K., Cui, C., Corrado, G., Thrun, S., &amp; Dean, J. (2019). A guide to deep </w:t>
      </w:r>
      <w:r w:rsidRPr="00E43051">
        <w:rPr>
          <w:rFonts w:ascii="Times New Roman" w:hAnsi="Times New Roman" w:cs="Times New Roman"/>
          <w:noProof/>
          <w:sz w:val="24"/>
          <w:szCs w:val="24"/>
        </w:rPr>
        <w:t xml:space="preserve">learning in healthcare. </w:t>
      </w:r>
      <w:r w:rsidRPr="00E43051">
        <w:rPr>
          <w:rFonts w:ascii="Times New Roman" w:hAnsi="Times New Roman" w:cs="Times New Roman"/>
          <w:i/>
          <w:iCs/>
          <w:noProof/>
          <w:sz w:val="24"/>
          <w:szCs w:val="24"/>
        </w:rPr>
        <w:t>Nature Medicine 2019 25:1</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25</w:t>
      </w:r>
      <w:r w:rsidRPr="00E43051">
        <w:rPr>
          <w:rFonts w:ascii="Times New Roman" w:hAnsi="Times New Roman" w:cs="Times New Roman"/>
          <w:noProof/>
          <w:sz w:val="24"/>
          <w:szCs w:val="24"/>
        </w:rPr>
        <w:t>(1), 24–29. https://doi.org/10.1038/s41591-018-0316-z</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Hansell, D. M., Bankier, A. A., MacMahon, H., McLoud, T. C., Müller, N. L., &amp; Remy, J. (2008). Fleischner Society: Glossary of terms for thoracic imaging. </w:t>
      </w:r>
      <w:r w:rsidRPr="00E43051">
        <w:rPr>
          <w:rFonts w:ascii="Times New Roman" w:hAnsi="Times New Roman" w:cs="Times New Roman"/>
          <w:i/>
          <w:iCs/>
          <w:noProof/>
          <w:sz w:val="24"/>
          <w:szCs w:val="24"/>
        </w:rPr>
        <w:t>Radiology</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246</w:t>
      </w:r>
      <w:r w:rsidRPr="00E43051">
        <w:rPr>
          <w:rFonts w:ascii="Times New Roman" w:hAnsi="Times New Roman" w:cs="Times New Roman"/>
          <w:noProof/>
          <w:sz w:val="24"/>
          <w:szCs w:val="24"/>
        </w:rPr>
        <w:t>(3), 697–722. https://doi.org/10.1148/RADIOL.2462070712/ASSET/IMAGES/R08FE34G71X.JPEG</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Huang, G., Maaten, L. Van Der, &amp; Weinberger, K. Q. (2017). Densely Connected Convolutional Networks. </w:t>
      </w:r>
      <w:r w:rsidRPr="00E43051">
        <w:rPr>
          <w:rFonts w:ascii="Times New Roman" w:hAnsi="Times New Roman" w:cs="Times New Roman"/>
          <w:i/>
          <w:iCs/>
          <w:noProof/>
          <w:sz w:val="24"/>
          <w:szCs w:val="24"/>
        </w:rPr>
        <w:t>Proceedings of the IEEE Conference on Computer Vision and Pattern Recognition (CVPR), 2017, Pp.</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109</w:t>
      </w:r>
      <w:r w:rsidRPr="00E43051">
        <w:rPr>
          <w:rFonts w:ascii="Times New Roman" w:hAnsi="Times New Roman" w:cs="Times New Roman"/>
          <w:noProof/>
          <w:sz w:val="24"/>
          <w:szCs w:val="24"/>
        </w:rPr>
        <w:t>(3), 4700–4708.</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Huang, X., Ding, A., Gao, J., Zheng, B., Zhou, D., Qi, X., Tang, R., Wang, J., Ren, C., Nie, W., Chi, X., Xu, Z., Chen, L., Li, Y., Che, F., Pang, N., Wang, H., Tong, D., Qin, W., … He, K. (2021). Enhanced secondary pollution offset reduction of primary emissions during COVID-19 lockdown in China. </w:t>
      </w:r>
      <w:r w:rsidRPr="00E43051">
        <w:rPr>
          <w:rFonts w:ascii="Times New Roman" w:hAnsi="Times New Roman" w:cs="Times New Roman"/>
          <w:i/>
          <w:iCs/>
          <w:noProof/>
          <w:sz w:val="24"/>
          <w:szCs w:val="24"/>
        </w:rPr>
        <w:t>National Science Review</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8</w:t>
      </w:r>
      <w:r w:rsidRPr="00E43051">
        <w:rPr>
          <w:rFonts w:ascii="Times New Roman" w:hAnsi="Times New Roman" w:cs="Times New Roman"/>
          <w:noProof/>
          <w:sz w:val="24"/>
          <w:szCs w:val="24"/>
        </w:rPr>
        <w:t>(2), 2021. https://doi.org/10.1093/NSR/NWAA137</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Kingma, D. P., &amp; Ba, J. L. (2014). Adam: A Method for Stochastic </w:t>
      </w:r>
      <w:r w:rsidRPr="00E43051">
        <w:rPr>
          <w:rFonts w:ascii="Times New Roman" w:hAnsi="Times New Roman" w:cs="Times New Roman"/>
          <w:noProof/>
          <w:sz w:val="24"/>
          <w:szCs w:val="24"/>
        </w:rPr>
        <w:lastRenderedPageBreak/>
        <w:t xml:space="preserve">Optimization. </w:t>
      </w:r>
      <w:r w:rsidRPr="00E43051">
        <w:rPr>
          <w:rFonts w:ascii="Times New Roman" w:hAnsi="Times New Roman" w:cs="Times New Roman"/>
          <w:i/>
          <w:iCs/>
          <w:noProof/>
          <w:sz w:val="24"/>
          <w:szCs w:val="24"/>
        </w:rPr>
        <w:t>3rd International Conference on Learning Representations, ICLR 2015 - Conference Track Proceedings</w:t>
      </w:r>
      <w:r w:rsidRPr="00E43051">
        <w:rPr>
          <w:rFonts w:ascii="Times New Roman" w:hAnsi="Times New Roman" w:cs="Times New Roman"/>
          <w:noProof/>
          <w:sz w:val="24"/>
          <w:szCs w:val="24"/>
        </w:rPr>
        <w:t>. https://arxiv.org/abs/1412.6980v9</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Litjens, G., Kooi, T., Bejnordi, B. E., Setio, A. A. A., Ciompi, F., Ghafoorian, M., van der Laak, J. A. W. M., van Ginneken, B., &amp; Sánchez, C. I. (2017). A survey on deep learning in medical image analysis. </w:t>
      </w:r>
      <w:r w:rsidRPr="00E43051">
        <w:rPr>
          <w:rFonts w:ascii="Times New Roman" w:hAnsi="Times New Roman" w:cs="Times New Roman"/>
          <w:i/>
          <w:iCs/>
          <w:noProof/>
          <w:sz w:val="24"/>
          <w:szCs w:val="24"/>
        </w:rPr>
        <w:t>Medical Image Analysis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42</w:t>
      </w:r>
      <w:r w:rsidRPr="00E43051">
        <w:rPr>
          <w:rFonts w:ascii="Times New Roman" w:hAnsi="Times New Roman" w:cs="Times New Roman"/>
          <w:noProof/>
          <w:sz w:val="24"/>
          <w:szCs w:val="24"/>
        </w:rPr>
        <w:t>, 60–88. https://doi.org/10.1016/J.MEDIA.2017.07.005</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Milne, E., Pistolesi, M., Miniati, M., Giuntini, C., Milne, E., Pistolesi, M., Miniati, M., &amp; Giuntini, C. (2012). The radiologic distinction of cardiogenic and noncardiogenic edema. </w:t>
      </w:r>
      <w:r w:rsidRPr="00E43051">
        <w:rPr>
          <w:rFonts w:ascii="Times New Roman" w:hAnsi="Times New Roman" w:cs="Times New Roman"/>
          <w:i/>
          <w:iCs/>
          <w:noProof/>
          <w:sz w:val="24"/>
          <w:szCs w:val="24"/>
        </w:rPr>
        <w:t>Https://Www.Ajronline.Org/</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144</w:t>
      </w:r>
      <w:r w:rsidRPr="00E43051">
        <w:rPr>
          <w:rFonts w:ascii="Times New Roman" w:hAnsi="Times New Roman" w:cs="Times New Roman"/>
          <w:noProof/>
          <w:sz w:val="24"/>
          <w:szCs w:val="24"/>
        </w:rPr>
        <w:t>(5), 879–894. https://doi.org/10.2214/AJR.144.5.879</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Prechelt, L. (1998). </w:t>
      </w:r>
      <w:r w:rsidRPr="00E43051">
        <w:rPr>
          <w:rFonts w:ascii="Times New Roman" w:hAnsi="Times New Roman" w:cs="Times New Roman"/>
          <w:i/>
          <w:iCs/>
          <w:noProof/>
          <w:sz w:val="24"/>
          <w:szCs w:val="24"/>
        </w:rPr>
        <w:t>Early Stopping - But When?</w:t>
      </w:r>
      <w:r w:rsidRPr="00E43051">
        <w:rPr>
          <w:rFonts w:ascii="Times New Roman" w:hAnsi="Times New Roman" w:cs="Times New Roman"/>
          <w:noProof/>
          <w:sz w:val="24"/>
          <w:szCs w:val="24"/>
        </w:rPr>
        <w:t xml:space="preserve"> 55–69. https://doi.org/10.1007/3-540-49430-8_3</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Rajpurkar, P., Irvin, J., Ball, R. L., Zhu, K., Yang, B., Mehta, H., Duan, T., Ding, D., Bagul, A., Langlotz, C. P., Patel, B. N., Yeom, K. W., Shpanskaya, K., Blankenberg, F. G., Seekins, J., Amrhein, T. J., Mong, D. A., Halabi, S. S., Zucker, E. J., … </w:t>
      </w:r>
      <w:r w:rsidRPr="00E43051">
        <w:rPr>
          <w:rFonts w:ascii="Times New Roman" w:hAnsi="Times New Roman" w:cs="Times New Roman"/>
          <w:noProof/>
          <w:sz w:val="24"/>
          <w:szCs w:val="24"/>
        </w:rPr>
        <w:t xml:space="preserve">Lungren, M. P. (2018). Deep learning for chest radiograph diagnosis: A retrospective comparison of the CheXNeXt algorithm to practicing radiologists. </w:t>
      </w:r>
      <w:r w:rsidRPr="00E43051">
        <w:rPr>
          <w:rFonts w:ascii="Times New Roman" w:hAnsi="Times New Roman" w:cs="Times New Roman"/>
          <w:i/>
          <w:iCs/>
          <w:noProof/>
          <w:sz w:val="24"/>
          <w:szCs w:val="24"/>
        </w:rPr>
        <w:t>PLOS Medicine</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15</w:t>
      </w:r>
      <w:r w:rsidRPr="00E43051">
        <w:rPr>
          <w:rFonts w:ascii="Times New Roman" w:hAnsi="Times New Roman" w:cs="Times New Roman"/>
          <w:noProof/>
          <w:sz w:val="24"/>
          <w:szCs w:val="24"/>
        </w:rPr>
        <w:t>(11), e1002686. https://doi.org/10.1371/JOURNAL.PMED.1002686</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Rajpurkar, P., Irvin, J., Zhu, K., Yang, B., Mehta, H., Duan, T., Ding, D., Bagul, A., Ball, R. L., Langlotz, C., Shpanskaya, K., Lungren, M. P., &amp; Ng, A. Y. (2017). </w:t>
      </w:r>
      <w:r w:rsidRPr="00E43051">
        <w:rPr>
          <w:rFonts w:ascii="Times New Roman" w:hAnsi="Times New Roman" w:cs="Times New Roman"/>
          <w:i/>
          <w:iCs/>
          <w:noProof/>
          <w:sz w:val="24"/>
          <w:szCs w:val="24"/>
        </w:rPr>
        <w:t>CheXNet: Radiologist-Level Pneumonia Detection on Chest X-Rays with Deep Learning</w:t>
      </w:r>
      <w:r w:rsidRPr="00E43051">
        <w:rPr>
          <w:rFonts w:ascii="Times New Roman" w:hAnsi="Times New Roman" w:cs="Times New Roman"/>
          <w:noProof/>
          <w:sz w:val="24"/>
          <w:szCs w:val="24"/>
        </w:rPr>
        <w:t>. https://stanfordmlgroup.</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Samek, W., Montavon, G., Lapuschkin, S., Anders, C. J., &amp; Müller, K. R. (2021). Explaining Deep Neural Networks and Beyond: A Review of Methods and Applications. </w:t>
      </w:r>
      <w:r w:rsidRPr="00E43051">
        <w:rPr>
          <w:rFonts w:ascii="Times New Roman" w:hAnsi="Times New Roman" w:cs="Times New Roman"/>
          <w:i/>
          <w:iCs/>
          <w:noProof/>
          <w:sz w:val="24"/>
          <w:szCs w:val="24"/>
        </w:rPr>
        <w:t>Proceedings of the IEEE</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109</w:t>
      </w:r>
      <w:r w:rsidRPr="00E43051">
        <w:rPr>
          <w:rFonts w:ascii="Times New Roman" w:hAnsi="Times New Roman" w:cs="Times New Roman"/>
          <w:noProof/>
          <w:sz w:val="24"/>
          <w:szCs w:val="24"/>
        </w:rPr>
        <w:t>(3), 247–278. https://doi.org/10.1109/JPROC.2021.3060483</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Samek, W., W</w:t>
      </w:r>
      <w:r w:rsidR="008772B9">
        <w:rPr>
          <w:rFonts w:ascii="Times New Roman" w:hAnsi="Times New Roman" w:cs="Times New Roman"/>
          <w:noProof/>
          <w:sz w:val="24"/>
          <w:szCs w:val="24"/>
        </w:rPr>
        <w:t>iegand, T., &amp; Müller, K.-R. (2022</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EXPLAINABLE ARTIFICIAL INTELLIGENCE: UNDERSTANDING, VISUALIZING AND INTERPRETING DEEP LEARNING MODELS</w:t>
      </w:r>
      <w:r w:rsidRPr="00E43051">
        <w:rPr>
          <w:rFonts w:ascii="Times New Roman" w:hAnsi="Times New Roman" w:cs="Times New Roman"/>
          <w:noProof/>
          <w:sz w:val="24"/>
          <w:szCs w:val="24"/>
        </w:rPr>
        <w:t>.</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Selvaraju, R. R., Cogswell, M., Das, A., Vedantam, R., Parikh, D., &amp; Batra, D. (2017). </w:t>
      </w:r>
      <w:r w:rsidRPr="00E43051">
        <w:rPr>
          <w:rFonts w:ascii="Times New Roman" w:hAnsi="Times New Roman" w:cs="Times New Roman"/>
          <w:i/>
          <w:iCs/>
          <w:noProof/>
          <w:sz w:val="24"/>
          <w:szCs w:val="24"/>
        </w:rPr>
        <w:t xml:space="preserve">Grad-CAM: Visual Explanations From Deep Networks </w:t>
      </w:r>
      <w:r w:rsidRPr="00E43051">
        <w:rPr>
          <w:rFonts w:ascii="Times New Roman" w:hAnsi="Times New Roman" w:cs="Times New Roman"/>
          <w:i/>
          <w:iCs/>
          <w:noProof/>
          <w:sz w:val="24"/>
          <w:szCs w:val="24"/>
        </w:rPr>
        <w:lastRenderedPageBreak/>
        <w:t>via Gradient-Based Localization</w:t>
      </w:r>
      <w:r w:rsidRPr="00E43051">
        <w:rPr>
          <w:rFonts w:ascii="Times New Roman" w:hAnsi="Times New Roman" w:cs="Times New Roman"/>
          <w:noProof/>
          <w:sz w:val="24"/>
          <w:szCs w:val="24"/>
        </w:rPr>
        <w:t xml:space="preserve"> (pp. 618–626). http://gradcam.cloudcv.org</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Selvaraju, R. R., Cogswell, M., Das, A., Vedantam, R., Parikh, D., &amp; Batra, D. (2020). Grad-CAM: Visual Explanations from Deep Networks via Gradient-Based Localization. </w:t>
      </w:r>
      <w:r w:rsidRPr="00E43051">
        <w:rPr>
          <w:rFonts w:ascii="Times New Roman" w:hAnsi="Times New Roman" w:cs="Times New Roman"/>
          <w:i/>
          <w:iCs/>
          <w:noProof/>
          <w:sz w:val="24"/>
          <w:szCs w:val="24"/>
        </w:rPr>
        <w:t>International Journal of Computer Vision</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128</w:t>
      </w:r>
      <w:r w:rsidRPr="00E43051">
        <w:rPr>
          <w:rFonts w:ascii="Times New Roman" w:hAnsi="Times New Roman" w:cs="Times New Roman"/>
          <w:noProof/>
          <w:sz w:val="24"/>
          <w:szCs w:val="24"/>
        </w:rPr>
        <w:t>(2), 336–359. https://doi.org/10.1007/S11263-019-01228-7/FIGURES/21</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Shorten, C., &amp; Khoshgoftaar, T. M. (2019). A survey on Image Data Augmentation for Deep Learning. </w:t>
      </w:r>
      <w:r w:rsidRPr="00E43051">
        <w:rPr>
          <w:rFonts w:ascii="Times New Roman" w:hAnsi="Times New Roman" w:cs="Times New Roman"/>
          <w:i/>
          <w:iCs/>
          <w:noProof/>
          <w:sz w:val="24"/>
          <w:szCs w:val="24"/>
        </w:rPr>
        <w:t>Journal of Big Data</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6</w:t>
      </w:r>
      <w:r w:rsidRPr="00E43051">
        <w:rPr>
          <w:rFonts w:ascii="Times New Roman" w:hAnsi="Times New Roman" w:cs="Times New Roman"/>
          <w:noProof/>
          <w:sz w:val="24"/>
          <w:szCs w:val="24"/>
        </w:rPr>
        <w:t>(1), 60-. https://doi.org/10.1186/S40537-019-0197-0/FIGURES/33</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Singh, A., Sengupta, S., &amp; Lakshminarayanan, V. (2020). Explainable deep learning models in medical image analysis. In </w:t>
      </w:r>
      <w:r w:rsidRPr="00E43051">
        <w:rPr>
          <w:rFonts w:ascii="Times New Roman" w:hAnsi="Times New Roman" w:cs="Times New Roman"/>
          <w:i/>
          <w:iCs/>
          <w:noProof/>
          <w:sz w:val="24"/>
          <w:szCs w:val="24"/>
        </w:rPr>
        <w:t>Journal of Imaging</w:t>
      </w:r>
      <w:r w:rsidRPr="00E43051">
        <w:rPr>
          <w:rFonts w:ascii="Times New Roman" w:hAnsi="Times New Roman" w:cs="Times New Roman"/>
          <w:noProof/>
          <w:sz w:val="24"/>
          <w:szCs w:val="24"/>
        </w:rPr>
        <w:t xml:space="preserve"> (Vol. 6, Issue 6, p. 52). MDPI AG. https://doi.org/10.3390/JIMAGING6060052</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Sokolova, M., &amp; Lapalme, G. (2009). A systematic analysis of performance measures for classification tasks. </w:t>
      </w:r>
      <w:r w:rsidRPr="00E43051">
        <w:rPr>
          <w:rFonts w:ascii="Times New Roman" w:hAnsi="Times New Roman" w:cs="Times New Roman"/>
          <w:i/>
          <w:iCs/>
          <w:noProof/>
          <w:sz w:val="24"/>
          <w:szCs w:val="24"/>
        </w:rPr>
        <w:t>Information Processing &amp; Management</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45</w:t>
      </w:r>
      <w:r w:rsidRPr="00E43051">
        <w:rPr>
          <w:rFonts w:ascii="Times New Roman" w:hAnsi="Times New Roman" w:cs="Times New Roman"/>
          <w:noProof/>
          <w:sz w:val="24"/>
          <w:szCs w:val="24"/>
        </w:rPr>
        <w:t>(4), 427–437. https://doi.org/10.1016/J.IPM.2009.03.002</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Srivastava, N., Hinton, G., … A. K.-T. journal of machine, &amp; 2014,  </w:t>
      </w:r>
      <w:r w:rsidRPr="00E43051">
        <w:rPr>
          <w:rFonts w:ascii="Times New Roman" w:hAnsi="Times New Roman" w:cs="Times New Roman"/>
          <w:noProof/>
          <w:sz w:val="24"/>
          <w:szCs w:val="24"/>
        </w:rPr>
        <w:t xml:space="preserve">undefined. (2014). Dropout: a simple way to prevent neural networks from overfitting. </w:t>
      </w:r>
      <w:r w:rsidRPr="00E43051">
        <w:rPr>
          <w:rFonts w:ascii="Times New Roman" w:hAnsi="Times New Roman" w:cs="Times New Roman"/>
          <w:i/>
          <w:iCs/>
          <w:noProof/>
          <w:sz w:val="24"/>
          <w:szCs w:val="24"/>
        </w:rPr>
        <w:t>Jmlr.Org</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15</w:t>
      </w:r>
      <w:r w:rsidRPr="00E43051">
        <w:rPr>
          <w:rFonts w:ascii="Times New Roman" w:hAnsi="Times New Roman" w:cs="Times New Roman"/>
          <w:noProof/>
          <w:sz w:val="24"/>
          <w:szCs w:val="24"/>
        </w:rPr>
        <w:t>, 1929–1958. https://www.jmlr.org/papers/volume15/srivastava14a/srivastava14a.pdf?utm_content=buffer79b43&amp;utm_medium=social&amp;utm_source=twitter.com&amp;utm_campaign=buffer,</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van der Velden, B. H. M., Kuijf, H. J., Gilhuijs, K. G. A., &amp; Viergever, M. A. (2022). Explainable artificial intelligence (XAI) in deep learning-based medical image analysis. </w:t>
      </w:r>
      <w:r w:rsidRPr="00E43051">
        <w:rPr>
          <w:rFonts w:ascii="Times New Roman" w:hAnsi="Times New Roman" w:cs="Times New Roman"/>
          <w:i/>
          <w:iCs/>
          <w:noProof/>
          <w:sz w:val="24"/>
          <w:szCs w:val="24"/>
        </w:rPr>
        <w:t>Medical Image Analysis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79</w:t>
      </w:r>
      <w:r w:rsidRPr="00E43051">
        <w:rPr>
          <w:rFonts w:ascii="Times New Roman" w:hAnsi="Times New Roman" w:cs="Times New Roman"/>
          <w:noProof/>
          <w:sz w:val="24"/>
          <w:szCs w:val="24"/>
        </w:rPr>
        <w:t>, 102470. https://doi.org/10.1016/J.MEDIA.2022.102470</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Wang, X.,  et al. (2022). (2022). </w:t>
      </w:r>
      <w:r w:rsidRPr="00E43051">
        <w:rPr>
          <w:rFonts w:ascii="Times New Roman" w:hAnsi="Times New Roman" w:cs="Times New Roman"/>
          <w:i/>
          <w:iCs/>
          <w:noProof/>
          <w:sz w:val="24"/>
          <w:szCs w:val="24"/>
        </w:rPr>
        <w:t>Wang, X., et al. (2017). ChestX-ray8: Hospital-scale... - Google Scholar</w:t>
      </w:r>
      <w:r w:rsidRPr="00E43051">
        <w:rPr>
          <w:rFonts w:ascii="Times New Roman" w:hAnsi="Times New Roman" w:cs="Times New Roman"/>
          <w:noProof/>
          <w:sz w:val="24"/>
          <w:szCs w:val="24"/>
        </w:rPr>
        <w:t>. https://scholar.google.com/scholar?hl=en&amp;as_sdt=0%2C5&amp;q=Wang%2C+X.%2C+et+al.+%282017%29.+ChestX-ray8%3A+Hospital-scale+chest+X-ray+database+and+benchmarks+on+weakly-supervised+classification.+CVPR.&amp;btnG=</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E43051">
        <w:rPr>
          <w:rFonts w:ascii="Times New Roman" w:hAnsi="Times New Roman" w:cs="Times New Roman"/>
          <w:noProof/>
          <w:sz w:val="24"/>
          <w:szCs w:val="24"/>
        </w:rPr>
        <w:t xml:space="preserve">Ware, L. B., &amp; Matthay, M. A. (2005). Acute Pulmonary Edema. </w:t>
      </w:r>
      <w:r w:rsidRPr="00E43051">
        <w:rPr>
          <w:rFonts w:ascii="Times New Roman" w:hAnsi="Times New Roman" w:cs="Times New Roman"/>
          <w:i/>
          <w:iCs/>
          <w:noProof/>
          <w:sz w:val="24"/>
          <w:szCs w:val="24"/>
        </w:rPr>
        <w:t>New England Journal of Medicine</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353</w:t>
      </w:r>
      <w:r w:rsidRPr="00E43051">
        <w:rPr>
          <w:rFonts w:ascii="Times New Roman" w:hAnsi="Times New Roman" w:cs="Times New Roman"/>
          <w:noProof/>
          <w:sz w:val="24"/>
          <w:szCs w:val="24"/>
        </w:rPr>
        <w:t>(26), 2788–2796. https://doi.org/10.1056/NEJMCP052699</w:t>
      </w:r>
    </w:p>
    <w:p w:rsidR="00E43051" w:rsidRPr="00E43051" w:rsidRDefault="00E43051" w:rsidP="00E43051">
      <w:pPr>
        <w:widowControl w:val="0"/>
        <w:autoSpaceDE w:val="0"/>
        <w:autoSpaceDN w:val="0"/>
        <w:adjustRightInd w:val="0"/>
        <w:spacing w:after="0" w:line="360" w:lineRule="auto"/>
        <w:ind w:left="480" w:hanging="480"/>
        <w:rPr>
          <w:rFonts w:ascii="Times New Roman" w:hAnsi="Times New Roman" w:cs="Times New Roman"/>
          <w:noProof/>
          <w:sz w:val="24"/>
        </w:rPr>
      </w:pPr>
      <w:r w:rsidRPr="00E43051">
        <w:rPr>
          <w:rFonts w:ascii="Times New Roman" w:hAnsi="Times New Roman" w:cs="Times New Roman"/>
          <w:noProof/>
          <w:sz w:val="24"/>
          <w:szCs w:val="24"/>
        </w:rPr>
        <w:lastRenderedPageBreak/>
        <w:t xml:space="preserve">Yosinski, J., Clune, J., Bengio, Y., &amp; Lipson, H. (2014). How transferable are features in deep neural networks? </w:t>
      </w:r>
      <w:r w:rsidRPr="00E43051">
        <w:rPr>
          <w:rFonts w:ascii="Times New Roman" w:hAnsi="Times New Roman" w:cs="Times New Roman"/>
          <w:i/>
          <w:iCs/>
          <w:noProof/>
          <w:sz w:val="24"/>
          <w:szCs w:val="24"/>
        </w:rPr>
        <w:t>Advances in Neural Information Processing Systems</w:t>
      </w:r>
      <w:r w:rsidRPr="00E43051">
        <w:rPr>
          <w:rFonts w:ascii="Times New Roman" w:hAnsi="Times New Roman" w:cs="Times New Roman"/>
          <w:noProof/>
          <w:sz w:val="24"/>
          <w:szCs w:val="24"/>
        </w:rPr>
        <w:t xml:space="preserve">, </w:t>
      </w:r>
      <w:r w:rsidRPr="00E43051">
        <w:rPr>
          <w:rFonts w:ascii="Times New Roman" w:hAnsi="Times New Roman" w:cs="Times New Roman"/>
          <w:i/>
          <w:iCs/>
          <w:noProof/>
          <w:sz w:val="24"/>
          <w:szCs w:val="24"/>
        </w:rPr>
        <w:t>27</w:t>
      </w:r>
      <w:r w:rsidRPr="00E43051">
        <w:rPr>
          <w:rFonts w:ascii="Times New Roman" w:hAnsi="Times New Roman" w:cs="Times New Roman"/>
          <w:noProof/>
          <w:sz w:val="24"/>
          <w:szCs w:val="24"/>
        </w:rPr>
        <w:t>.</w:t>
      </w:r>
    </w:p>
    <w:p w:rsidR="00C13908" w:rsidRDefault="00E43051" w:rsidP="00BF1173">
      <w:pPr>
        <w:pStyle w:val="HTMLPreformatted"/>
        <w:spacing w:line="360" w:lineRule="auto"/>
        <w:jc w:val="both"/>
        <w:rPr>
          <w:rFonts w:ascii="Times New Roman" w:hAnsi="Times New Roman" w:cs="Times New Roman"/>
          <w:sz w:val="24"/>
        </w:rPr>
        <w:sectPr w:rsidR="00C13908" w:rsidSect="00496E7E">
          <w:type w:val="continuous"/>
          <w:pgSz w:w="11909" w:h="16834" w:code="9"/>
          <w:pgMar w:top="1440" w:right="1440" w:bottom="1440" w:left="1440" w:header="720" w:footer="720" w:gutter="0"/>
          <w:cols w:num="2" w:space="720"/>
          <w:docGrid w:linePitch="360"/>
        </w:sectPr>
      </w:pPr>
      <w:r>
        <w:rPr>
          <w:rFonts w:ascii="Times New Roman" w:hAnsi="Times New Roman" w:cs="Times New Roman"/>
          <w:sz w:val="24"/>
        </w:rPr>
        <w:fldChar w:fldCharType="end"/>
      </w:r>
    </w:p>
    <w:p w:rsidR="00106EA0" w:rsidRPr="00106EA0" w:rsidRDefault="00106EA0" w:rsidP="00BF1173">
      <w:pPr>
        <w:pStyle w:val="HTMLPreformatted"/>
        <w:spacing w:line="360" w:lineRule="auto"/>
        <w:jc w:val="both"/>
        <w:rPr>
          <w:rFonts w:ascii="Times New Roman" w:hAnsi="Times New Roman" w:cs="Times New Roman"/>
          <w:sz w:val="24"/>
        </w:rPr>
      </w:pPr>
      <w:bookmarkStart w:id="0" w:name="_GoBack"/>
      <w:bookmarkEnd w:id="0"/>
    </w:p>
    <w:sectPr w:rsidR="00106EA0" w:rsidRPr="00106EA0" w:rsidSect="008B6F3D">
      <w:type w:val="continuous"/>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669" w:rsidRDefault="00097669" w:rsidP="00D210CB">
      <w:pPr>
        <w:spacing w:after="0" w:line="240" w:lineRule="auto"/>
      </w:pPr>
      <w:r>
        <w:separator/>
      </w:r>
    </w:p>
  </w:endnote>
  <w:endnote w:type="continuationSeparator" w:id="0">
    <w:p w:rsidR="00097669" w:rsidRDefault="00097669" w:rsidP="00D21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351704"/>
      <w:docPartObj>
        <w:docPartGallery w:val="Page Numbers (Bottom of Page)"/>
        <w:docPartUnique/>
      </w:docPartObj>
    </w:sdtPr>
    <w:sdtEndPr>
      <w:rPr>
        <w:noProof/>
      </w:rPr>
    </w:sdtEndPr>
    <w:sdtContent>
      <w:p w:rsidR="00E31806" w:rsidRDefault="00E31806">
        <w:pPr>
          <w:pStyle w:val="Footer"/>
          <w:jc w:val="center"/>
        </w:pPr>
        <w:r>
          <w:fldChar w:fldCharType="begin"/>
        </w:r>
        <w:r>
          <w:instrText xml:space="preserve"> PAGE   \* MERGEFORMAT </w:instrText>
        </w:r>
        <w:r>
          <w:fldChar w:fldCharType="separate"/>
        </w:r>
        <w:r w:rsidR="00337043">
          <w:rPr>
            <w:noProof/>
          </w:rPr>
          <w:t>12</w:t>
        </w:r>
        <w:r>
          <w:rPr>
            <w:noProof/>
          </w:rPr>
          <w:fldChar w:fldCharType="end"/>
        </w:r>
      </w:p>
    </w:sdtContent>
  </w:sdt>
  <w:p w:rsidR="00E31806" w:rsidRDefault="00E31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669" w:rsidRDefault="00097669" w:rsidP="00D210CB">
      <w:pPr>
        <w:spacing w:after="0" w:line="240" w:lineRule="auto"/>
      </w:pPr>
      <w:r>
        <w:separator/>
      </w:r>
    </w:p>
  </w:footnote>
  <w:footnote w:type="continuationSeparator" w:id="0">
    <w:p w:rsidR="00097669" w:rsidRDefault="00097669" w:rsidP="00D210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4292"/>
    <w:multiLevelType w:val="hybridMultilevel"/>
    <w:tmpl w:val="7FE2A02E"/>
    <w:lvl w:ilvl="0" w:tplc="D2DA6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81636"/>
    <w:multiLevelType w:val="hybridMultilevel"/>
    <w:tmpl w:val="E4EA9C7A"/>
    <w:lvl w:ilvl="0" w:tplc="F1668A8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075C8"/>
    <w:multiLevelType w:val="hybridMultilevel"/>
    <w:tmpl w:val="6AC6AE24"/>
    <w:lvl w:ilvl="0" w:tplc="4920CD4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F3053"/>
    <w:multiLevelType w:val="hybridMultilevel"/>
    <w:tmpl w:val="2ACA0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97036D"/>
    <w:multiLevelType w:val="hybridMultilevel"/>
    <w:tmpl w:val="271CC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E2BB4"/>
    <w:multiLevelType w:val="hybridMultilevel"/>
    <w:tmpl w:val="A0705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904250"/>
    <w:multiLevelType w:val="hybridMultilevel"/>
    <w:tmpl w:val="73261D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314FC2"/>
    <w:multiLevelType w:val="hybridMultilevel"/>
    <w:tmpl w:val="B28A00E0"/>
    <w:lvl w:ilvl="0" w:tplc="4CDCFC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6A4080"/>
    <w:multiLevelType w:val="hybridMultilevel"/>
    <w:tmpl w:val="720236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C7907"/>
    <w:multiLevelType w:val="hybridMultilevel"/>
    <w:tmpl w:val="C5CA5D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2"/>
  </w:num>
  <w:num w:numId="4">
    <w:abstractNumId w:val="6"/>
  </w:num>
  <w:num w:numId="5">
    <w:abstractNumId w:val="4"/>
  </w:num>
  <w:num w:numId="6">
    <w:abstractNumId w:val="1"/>
  </w:num>
  <w:num w:numId="7">
    <w:abstractNumId w:val="8"/>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347"/>
    <w:rsid w:val="0000644D"/>
    <w:rsid w:val="00010323"/>
    <w:rsid w:val="00020891"/>
    <w:rsid w:val="00021997"/>
    <w:rsid w:val="00025D70"/>
    <w:rsid w:val="00045502"/>
    <w:rsid w:val="000579CC"/>
    <w:rsid w:val="00061635"/>
    <w:rsid w:val="00097669"/>
    <w:rsid w:val="000A3B3D"/>
    <w:rsid w:val="00106EA0"/>
    <w:rsid w:val="00123645"/>
    <w:rsid w:val="001269BB"/>
    <w:rsid w:val="00145B92"/>
    <w:rsid w:val="00193695"/>
    <w:rsid w:val="001A5344"/>
    <w:rsid w:val="001B0442"/>
    <w:rsid w:val="001C2C1B"/>
    <w:rsid w:val="001C5F83"/>
    <w:rsid w:val="001C6EB4"/>
    <w:rsid w:val="001E0248"/>
    <w:rsid w:val="001E5A10"/>
    <w:rsid w:val="00203ACF"/>
    <w:rsid w:val="002C2173"/>
    <w:rsid w:val="00326347"/>
    <w:rsid w:val="00337043"/>
    <w:rsid w:val="00383E56"/>
    <w:rsid w:val="003B2339"/>
    <w:rsid w:val="003C3F45"/>
    <w:rsid w:val="003F4280"/>
    <w:rsid w:val="00463047"/>
    <w:rsid w:val="004945E4"/>
    <w:rsid w:val="00496E7E"/>
    <w:rsid w:val="004B56BD"/>
    <w:rsid w:val="00503E3D"/>
    <w:rsid w:val="00550888"/>
    <w:rsid w:val="005A46D7"/>
    <w:rsid w:val="005D1D09"/>
    <w:rsid w:val="00615E99"/>
    <w:rsid w:val="00682FDC"/>
    <w:rsid w:val="00695EBF"/>
    <w:rsid w:val="006A1187"/>
    <w:rsid w:val="006E0452"/>
    <w:rsid w:val="006E7281"/>
    <w:rsid w:val="006F57EE"/>
    <w:rsid w:val="00741CB3"/>
    <w:rsid w:val="00770BFF"/>
    <w:rsid w:val="007A67CB"/>
    <w:rsid w:val="007E67C7"/>
    <w:rsid w:val="007F4B7B"/>
    <w:rsid w:val="008228CF"/>
    <w:rsid w:val="0082323C"/>
    <w:rsid w:val="00853524"/>
    <w:rsid w:val="008616B1"/>
    <w:rsid w:val="008772B9"/>
    <w:rsid w:val="00883401"/>
    <w:rsid w:val="008B066C"/>
    <w:rsid w:val="008B53D0"/>
    <w:rsid w:val="008B5CA6"/>
    <w:rsid w:val="008B6F3D"/>
    <w:rsid w:val="008E4717"/>
    <w:rsid w:val="00900907"/>
    <w:rsid w:val="00914F4E"/>
    <w:rsid w:val="0091649C"/>
    <w:rsid w:val="009408DD"/>
    <w:rsid w:val="0095366C"/>
    <w:rsid w:val="00AB6125"/>
    <w:rsid w:val="00AC279C"/>
    <w:rsid w:val="00AC7367"/>
    <w:rsid w:val="00B34D76"/>
    <w:rsid w:val="00B42A60"/>
    <w:rsid w:val="00B5435E"/>
    <w:rsid w:val="00B855D0"/>
    <w:rsid w:val="00BA1ED7"/>
    <w:rsid w:val="00BF1173"/>
    <w:rsid w:val="00BF1EEA"/>
    <w:rsid w:val="00BF383F"/>
    <w:rsid w:val="00C13908"/>
    <w:rsid w:val="00C91D7A"/>
    <w:rsid w:val="00CD1DBA"/>
    <w:rsid w:val="00D210CB"/>
    <w:rsid w:val="00D2723C"/>
    <w:rsid w:val="00D57DA9"/>
    <w:rsid w:val="00D67D6D"/>
    <w:rsid w:val="00DA0216"/>
    <w:rsid w:val="00DA31CA"/>
    <w:rsid w:val="00E1043A"/>
    <w:rsid w:val="00E31763"/>
    <w:rsid w:val="00E31806"/>
    <w:rsid w:val="00E43051"/>
    <w:rsid w:val="00E63348"/>
    <w:rsid w:val="00F42D29"/>
    <w:rsid w:val="00F43BA2"/>
    <w:rsid w:val="00F764FC"/>
    <w:rsid w:val="00FA12CD"/>
    <w:rsid w:val="00FA770B"/>
    <w:rsid w:val="00FB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78A53D"/>
  <w15:chartTrackingRefBased/>
  <w15:docId w15:val="{F42F3AA0-0D0E-4E7C-8763-4FABED02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E31806"/>
    <w:pPr>
      <w:keepNext/>
      <w:keepLines/>
      <w:spacing w:before="240" w:after="0" w:line="360" w:lineRule="auto"/>
      <w:outlineLvl w:val="0"/>
    </w:pPr>
    <w:rPr>
      <w:rFonts w:ascii="Times New Roman" w:eastAsiaTheme="majorEastAsia" w:hAnsi="Times New Roman" w:cstheme="majorBidi"/>
      <w:b/>
      <w:sz w:val="24"/>
      <w:szCs w:val="32"/>
    </w:rPr>
  </w:style>
  <w:style w:type="paragraph" w:styleId="Heading2">
    <w:name w:val="heading 2"/>
    <w:basedOn w:val="Normal"/>
    <w:link w:val="Heading2Char"/>
    <w:autoRedefine/>
    <w:uiPriority w:val="9"/>
    <w:qFormat/>
    <w:rsid w:val="00695EBF"/>
    <w:pPr>
      <w:spacing w:before="100" w:beforeAutospacing="1" w:after="100" w:afterAutospacing="1" w:line="36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semiHidden/>
    <w:unhideWhenUsed/>
    <w:qFormat/>
    <w:rsid w:val="003C3F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5EBF"/>
    <w:rPr>
      <w:rFonts w:ascii="Times New Roman" w:eastAsia="Times New Roman" w:hAnsi="Times New Roman" w:cs="Times New Roman"/>
      <w:b/>
      <w:bCs/>
      <w:sz w:val="24"/>
      <w:szCs w:val="36"/>
    </w:rPr>
  </w:style>
  <w:style w:type="character" w:styleId="HTMLCode">
    <w:name w:val="HTML Code"/>
    <w:basedOn w:val="DefaultParagraphFont"/>
    <w:uiPriority w:val="99"/>
    <w:semiHidden/>
    <w:unhideWhenUsed/>
    <w:rsid w:val="00326347"/>
    <w:rPr>
      <w:rFonts w:ascii="Courier New" w:eastAsia="Times New Roman" w:hAnsi="Courier New" w:cs="Courier New"/>
      <w:sz w:val="20"/>
      <w:szCs w:val="20"/>
    </w:rPr>
  </w:style>
  <w:style w:type="paragraph" w:styleId="ListParagraph">
    <w:name w:val="List Paragraph"/>
    <w:basedOn w:val="Normal"/>
    <w:uiPriority w:val="34"/>
    <w:qFormat/>
    <w:rsid w:val="001269BB"/>
    <w:pPr>
      <w:ind w:left="720"/>
      <w:contextualSpacing/>
    </w:pPr>
  </w:style>
  <w:style w:type="character" w:customStyle="1" w:styleId="Heading3Char">
    <w:name w:val="Heading 3 Char"/>
    <w:basedOn w:val="DefaultParagraphFont"/>
    <w:link w:val="Heading3"/>
    <w:uiPriority w:val="9"/>
    <w:semiHidden/>
    <w:rsid w:val="003C3F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93695"/>
    <w:rPr>
      <w:rFonts w:ascii="Times New Roman" w:hAnsi="Times New Roman"/>
      <w:b/>
      <w:bCs/>
      <w:sz w:val="24"/>
    </w:rPr>
  </w:style>
  <w:style w:type="paragraph" w:customStyle="1" w:styleId="Style1">
    <w:name w:val="Style1"/>
    <w:basedOn w:val="Heading3"/>
    <w:link w:val="Style1Char"/>
    <w:qFormat/>
    <w:rsid w:val="003C3F45"/>
    <w:rPr>
      <w:rFonts w:ascii="Times New Roman" w:hAnsi="Times New Roman"/>
      <w:color w:val="auto"/>
    </w:rPr>
  </w:style>
  <w:style w:type="character" w:customStyle="1" w:styleId="Heading1Char">
    <w:name w:val="Heading 1 Char"/>
    <w:basedOn w:val="DefaultParagraphFont"/>
    <w:link w:val="Heading1"/>
    <w:uiPriority w:val="9"/>
    <w:rsid w:val="00E31806"/>
    <w:rPr>
      <w:rFonts w:ascii="Times New Roman" w:eastAsiaTheme="majorEastAsia" w:hAnsi="Times New Roman" w:cstheme="majorBidi"/>
      <w:b/>
      <w:sz w:val="24"/>
      <w:szCs w:val="32"/>
    </w:rPr>
  </w:style>
  <w:style w:type="character" w:customStyle="1" w:styleId="Style1Char">
    <w:name w:val="Style1 Char"/>
    <w:basedOn w:val="Heading3Char"/>
    <w:link w:val="Style1"/>
    <w:rsid w:val="003C3F45"/>
    <w:rPr>
      <w:rFonts w:ascii="Times New Roman" w:eastAsiaTheme="majorEastAsia" w:hAnsi="Times New Roman" w:cstheme="majorBidi"/>
      <w:color w:val="1F4D78" w:themeColor="accent1" w:themeShade="7F"/>
      <w:sz w:val="24"/>
      <w:szCs w:val="24"/>
    </w:rPr>
  </w:style>
  <w:style w:type="paragraph" w:styleId="HTMLPreformatted">
    <w:name w:val="HTML Preformatted"/>
    <w:basedOn w:val="Normal"/>
    <w:link w:val="HTMLPreformattedChar"/>
    <w:uiPriority w:val="99"/>
    <w:unhideWhenUsed/>
    <w:rsid w:val="003C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3F45"/>
    <w:rPr>
      <w:rFonts w:ascii="Courier New" w:eastAsia="Times New Roman" w:hAnsi="Courier New" w:cs="Courier New"/>
      <w:sz w:val="20"/>
      <w:szCs w:val="20"/>
    </w:rPr>
  </w:style>
  <w:style w:type="character" w:customStyle="1" w:styleId="token">
    <w:name w:val="token"/>
    <w:basedOn w:val="DefaultParagraphFont"/>
    <w:rsid w:val="003C3F45"/>
  </w:style>
  <w:style w:type="paragraph" w:styleId="Caption">
    <w:name w:val="caption"/>
    <w:basedOn w:val="Normal"/>
    <w:next w:val="Normal"/>
    <w:uiPriority w:val="35"/>
    <w:unhideWhenUsed/>
    <w:qFormat/>
    <w:rsid w:val="00FB1B35"/>
    <w:pPr>
      <w:spacing w:after="200" w:line="240" w:lineRule="auto"/>
    </w:pPr>
    <w:rPr>
      <w:i/>
      <w:iCs/>
      <w:color w:val="44546A" w:themeColor="text2"/>
      <w:sz w:val="18"/>
      <w:szCs w:val="18"/>
    </w:rPr>
  </w:style>
  <w:style w:type="table" w:styleId="TableGrid">
    <w:name w:val="Table Grid"/>
    <w:basedOn w:val="TableNormal"/>
    <w:uiPriority w:val="39"/>
    <w:rsid w:val="00853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10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0CB"/>
  </w:style>
  <w:style w:type="paragraph" w:styleId="Footer">
    <w:name w:val="footer"/>
    <w:basedOn w:val="Normal"/>
    <w:link w:val="FooterChar"/>
    <w:uiPriority w:val="99"/>
    <w:unhideWhenUsed/>
    <w:rsid w:val="00D21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0CB"/>
  </w:style>
  <w:style w:type="paragraph" w:styleId="Title">
    <w:name w:val="Title"/>
    <w:basedOn w:val="Normal"/>
    <w:next w:val="Normal"/>
    <w:link w:val="TitleChar"/>
    <w:autoRedefine/>
    <w:uiPriority w:val="10"/>
    <w:qFormat/>
    <w:rsid w:val="00E31806"/>
    <w:pPr>
      <w:spacing w:after="0" w:line="240" w:lineRule="auto"/>
      <w:contextualSpacing/>
      <w:jc w:val="center"/>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E31806"/>
    <w:rPr>
      <w:rFonts w:asciiTheme="majorHAnsi" w:eastAsiaTheme="majorEastAsia" w:hAnsiTheme="majorHAnsi" w:cstheme="majorBidi"/>
      <w:b/>
      <w:spacing w:val="-10"/>
      <w:kern w:val="28"/>
      <w:sz w:val="40"/>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2409">
      <w:bodyDiv w:val="1"/>
      <w:marLeft w:val="0"/>
      <w:marRight w:val="0"/>
      <w:marTop w:val="0"/>
      <w:marBottom w:val="0"/>
      <w:divBdr>
        <w:top w:val="none" w:sz="0" w:space="0" w:color="auto"/>
        <w:left w:val="none" w:sz="0" w:space="0" w:color="auto"/>
        <w:bottom w:val="none" w:sz="0" w:space="0" w:color="auto"/>
        <w:right w:val="none" w:sz="0" w:space="0" w:color="auto"/>
      </w:divBdr>
    </w:div>
    <w:div w:id="18748456">
      <w:bodyDiv w:val="1"/>
      <w:marLeft w:val="0"/>
      <w:marRight w:val="0"/>
      <w:marTop w:val="0"/>
      <w:marBottom w:val="0"/>
      <w:divBdr>
        <w:top w:val="none" w:sz="0" w:space="0" w:color="auto"/>
        <w:left w:val="none" w:sz="0" w:space="0" w:color="auto"/>
        <w:bottom w:val="none" w:sz="0" w:space="0" w:color="auto"/>
        <w:right w:val="none" w:sz="0" w:space="0" w:color="auto"/>
      </w:divBdr>
    </w:div>
    <w:div w:id="104083362">
      <w:bodyDiv w:val="1"/>
      <w:marLeft w:val="0"/>
      <w:marRight w:val="0"/>
      <w:marTop w:val="0"/>
      <w:marBottom w:val="0"/>
      <w:divBdr>
        <w:top w:val="none" w:sz="0" w:space="0" w:color="auto"/>
        <w:left w:val="none" w:sz="0" w:space="0" w:color="auto"/>
        <w:bottom w:val="none" w:sz="0" w:space="0" w:color="auto"/>
        <w:right w:val="none" w:sz="0" w:space="0" w:color="auto"/>
      </w:divBdr>
    </w:div>
    <w:div w:id="111675293">
      <w:bodyDiv w:val="1"/>
      <w:marLeft w:val="0"/>
      <w:marRight w:val="0"/>
      <w:marTop w:val="0"/>
      <w:marBottom w:val="0"/>
      <w:divBdr>
        <w:top w:val="none" w:sz="0" w:space="0" w:color="auto"/>
        <w:left w:val="none" w:sz="0" w:space="0" w:color="auto"/>
        <w:bottom w:val="none" w:sz="0" w:space="0" w:color="auto"/>
        <w:right w:val="none" w:sz="0" w:space="0" w:color="auto"/>
      </w:divBdr>
    </w:div>
    <w:div w:id="121845519">
      <w:bodyDiv w:val="1"/>
      <w:marLeft w:val="0"/>
      <w:marRight w:val="0"/>
      <w:marTop w:val="0"/>
      <w:marBottom w:val="0"/>
      <w:divBdr>
        <w:top w:val="none" w:sz="0" w:space="0" w:color="auto"/>
        <w:left w:val="none" w:sz="0" w:space="0" w:color="auto"/>
        <w:bottom w:val="none" w:sz="0" w:space="0" w:color="auto"/>
        <w:right w:val="none" w:sz="0" w:space="0" w:color="auto"/>
      </w:divBdr>
    </w:div>
    <w:div w:id="140317716">
      <w:bodyDiv w:val="1"/>
      <w:marLeft w:val="0"/>
      <w:marRight w:val="0"/>
      <w:marTop w:val="0"/>
      <w:marBottom w:val="0"/>
      <w:divBdr>
        <w:top w:val="none" w:sz="0" w:space="0" w:color="auto"/>
        <w:left w:val="none" w:sz="0" w:space="0" w:color="auto"/>
        <w:bottom w:val="none" w:sz="0" w:space="0" w:color="auto"/>
        <w:right w:val="none" w:sz="0" w:space="0" w:color="auto"/>
      </w:divBdr>
    </w:div>
    <w:div w:id="143209289">
      <w:bodyDiv w:val="1"/>
      <w:marLeft w:val="0"/>
      <w:marRight w:val="0"/>
      <w:marTop w:val="0"/>
      <w:marBottom w:val="0"/>
      <w:divBdr>
        <w:top w:val="none" w:sz="0" w:space="0" w:color="auto"/>
        <w:left w:val="none" w:sz="0" w:space="0" w:color="auto"/>
        <w:bottom w:val="none" w:sz="0" w:space="0" w:color="auto"/>
        <w:right w:val="none" w:sz="0" w:space="0" w:color="auto"/>
      </w:divBdr>
    </w:div>
    <w:div w:id="157160405">
      <w:bodyDiv w:val="1"/>
      <w:marLeft w:val="0"/>
      <w:marRight w:val="0"/>
      <w:marTop w:val="0"/>
      <w:marBottom w:val="0"/>
      <w:divBdr>
        <w:top w:val="none" w:sz="0" w:space="0" w:color="auto"/>
        <w:left w:val="none" w:sz="0" w:space="0" w:color="auto"/>
        <w:bottom w:val="none" w:sz="0" w:space="0" w:color="auto"/>
        <w:right w:val="none" w:sz="0" w:space="0" w:color="auto"/>
      </w:divBdr>
    </w:div>
    <w:div w:id="192420417">
      <w:bodyDiv w:val="1"/>
      <w:marLeft w:val="0"/>
      <w:marRight w:val="0"/>
      <w:marTop w:val="0"/>
      <w:marBottom w:val="0"/>
      <w:divBdr>
        <w:top w:val="none" w:sz="0" w:space="0" w:color="auto"/>
        <w:left w:val="none" w:sz="0" w:space="0" w:color="auto"/>
        <w:bottom w:val="none" w:sz="0" w:space="0" w:color="auto"/>
        <w:right w:val="none" w:sz="0" w:space="0" w:color="auto"/>
      </w:divBdr>
    </w:div>
    <w:div w:id="216749512">
      <w:bodyDiv w:val="1"/>
      <w:marLeft w:val="0"/>
      <w:marRight w:val="0"/>
      <w:marTop w:val="0"/>
      <w:marBottom w:val="0"/>
      <w:divBdr>
        <w:top w:val="none" w:sz="0" w:space="0" w:color="auto"/>
        <w:left w:val="none" w:sz="0" w:space="0" w:color="auto"/>
        <w:bottom w:val="none" w:sz="0" w:space="0" w:color="auto"/>
        <w:right w:val="none" w:sz="0" w:space="0" w:color="auto"/>
      </w:divBdr>
    </w:div>
    <w:div w:id="243926684">
      <w:bodyDiv w:val="1"/>
      <w:marLeft w:val="0"/>
      <w:marRight w:val="0"/>
      <w:marTop w:val="0"/>
      <w:marBottom w:val="0"/>
      <w:divBdr>
        <w:top w:val="none" w:sz="0" w:space="0" w:color="auto"/>
        <w:left w:val="none" w:sz="0" w:space="0" w:color="auto"/>
        <w:bottom w:val="none" w:sz="0" w:space="0" w:color="auto"/>
        <w:right w:val="none" w:sz="0" w:space="0" w:color="auto"/>
      </w:divBdr>
    </w:div>
    <w:div w:id="304821530">
      <w:bodyDiv w:val="1"/>
      <w:marLeft w:val="0"/>
      <w:marRight w:val="0"/>
      <w:marTop w:val="0"/>
      <w:marBottom w:val="0"/>
      <w:divBdr>
        <w:top w:val="none" w:sz="0" w:space="0" w:color="auto"/>
        <w:left w:val="none" w:sz="0" w:space="0" w:color="auto"/>
        <w:bottom w:val="none" w:sz="0" w:space="0" w:color="auto"/>
        <w:right w:val="none" w:sz="0" w:space="0" w:color="auto"/>
      </w:divBdr>
    </w:div>
    <w:div w:id="307978312">
      <w:bodyDiv w:val="1"/>
      <w:marLeft w:val="0"/>
      <w:marRight w:val="0"/>
      <w:marTop w:val="0"/>
      <w:marBottom w:val="0"/>
      <w:divBdr>
        <w:top w:val="none" w:sz="0" w:space="0" w:color="auto"/>
        <w:left w:val="none" w:sz="0" w:space="0" w:color="auto"/>
        <w:bottom w:val="none" w:sz="0" w:space="0" w:color="auto"/>
        <w:right w:val="none" w:sz="0" w:space="0" w:color="auto"/>
      </w:divBdr>
    </w:div>
    <w:div w:id="311299105">
      <w:bodyDiv w:val="1"/>
      <w:marLeft w:val="0"/>
      <w:marRight w:val="0"/>
      <w:marTop w:val="0"/>
      <w:marBottom w:val="0"/>
      <w:divBdr>
        <w:top w:val="none" w:sz="0" w:space="0" w:color="auto"/>
        <w:left w:val="none" w:sz="0" w:space="0" w:color="auto"/>
        <w:bottom w:val="none" w:sz="0" w:space="0" w:color="auto"/>
        <w:right w:val="none" w:sz="0" w:space="0" w:color="auto"/>
      </w:divBdr>
    </w:div>
    <w:div w:id="357699466">
      <w:bodyDiv w:val="1"/>
      <w:marLeft w:val="0"/>
      <w:marRight w:val="0"/>
      <w:marTop w:val="0"/>
      <w:marBottom w:val="0"/>
      <w:divBdr>
        <w:top w:val="none" w:sz="0" w:space="0" w:color="auto"/>
        <w:left w:val="none" w:sz="0" w:space="0" w:color="auto"/>
        <w:bottom w:val="none" w:sz="0" w:space="0" w:color="auto"/>
        <w:right w:val="none" w:sz="0" w:space="0" w:color="auto"/>
      </w:divBdr>
    </w:div>
    <w:div w:id="399639739">
      <w:bodyDiv w:val="1"/>
      <w:marLeft w:val="0"/>
      <w:marRight w:val="0"/>
      <w:marTop w:val="0"/>
      <w:marBottom w:val="0"/>
      <w:divBdr>
        <w:top w:val="none" w:sz="0" w:space="0" w:color="auto"/>
        <w:left w:val="none" w:sz="0" w:space="0" w:color="auto"/>
        <w:bottom w:val="none" w:sz="0" w:space="0" w:color="auto"/>
        <w:right w:val="none" w:sz="0" w:space="0" w:color="auto"/>
      </w:divBdr>
    </w:div>
    <w:div w:id="405884604">
      <w:bodyDiv w:val="1"/>
      <w:marLeft w:val="0"/>
      <w:marRight w:val="0"/>
      <w:marTop w:val="0"/>
      <w:marBottom w:val="0"/>
      <w:divBdr>
        <w:top w:val="none" w:sz="0" w:space="0" w:color="auto"/>
        <w:left w:val="none" w:sz="0" w:space="0" w:color="auto"/>
        <w:bottom w:val="none" w:sz="0" w:space="0" w:color="auto"/>
        <w:right w:val="none" w:sz="0" w:space="0" w:color="auto"/>
      </w:divBdr>
    </w:div>
    <w:div w:id="413629691">
      <w:bodyDiv w:val="1"/>
      <w:marLeft w:val="0"/>
      <w:marRight w:val="0"/>
      <w:marTop w:val="0"/>
      <w:marBottom w:val="0"/>
      <w:divBdr>
        <w:top w:val="none" w:sz="0" w:space="0" w:color="auto"/>
        <w:left w:val="none" w:sz="0" w:space="0" w:color="auto"/>
        <w:bottom w:val="none" w:sz="0" w:space="0" w:color="auto"/>
        <w:right w:val="none" w:sz="0" w:space="0" w:color="auto"/>
      </w:divBdr>
    </w:div>
    <w:div w:id="418872282">
      <w:bodyDiv w:val="1"/>
      <w:marLeft w:val="0"/>
      <w:marRight w:val="0"/>
      <w:marTop w:val="0"/>
      <w:marBottom w:val="0"/>
      <w:divBdr>
        <w:top w:val="none" w:sz="0" w:space="0" w:color="auto"/>
        <w:left w:val="none" w:sz="0" w:space="0" w:color="auto"/>
        <w:bottom w:val="none" w:sz="0" w:space="0" w:color="auto"/>
        <w:right w:val="none" w:sz="0" w:space="0" w:color="auto"/>
      </w:divBdr>
    </w:div>
    <w:div w:id="433595294">
      <w:bodyDiv w:val="1"/>
      <w:marLeft w:val="0"/>
      <w:marRight w:val="0"/>
      <w:marTop w:val="0"/>
      <w:marBottom w:val="0"/>
      <w:divBdr>
        <w:top w:val="none" w:sz="0" w:space="0" w:color="auto"/>
        <w:left w:val="none" w:sz="0" w:space="0" w:color="auto"/>
        <w:bottom w:val="none" w:sz="0" w:space="0" w:color="auto"/>
        <w:right w:val="none" w:sz="0" w:space="0" w:color="auto"/>
      </w:divBdr>
    </w:div>
    <w:div w:id="449740334">
      <w:bodyDiv w:val="1"/>
      <w:marLeft w:val="0"/>
      <w:marRight w:val="0"/>
      <w:marTop w:val="0"/>
      <w:marBottom w:val="0"/>
      <w:divBdr>
        <w:top w:val="none" w:sz="0" w:space="0" w:color="auto"/>
        <w:left w:val="none" w:sz="0" w:space="0" w:color="auto"/>
        <w:bottom w:val="none" w:sz="0" w:space="0" w:color="auto"/>
        <w:right w:val="none" w:sz="0" w:space="0" w:color="auto"/>
      </w:divBdr>
    </w:div>
    <w:div w:id="451871201">
      <w:bodyDiv w:val="1"/>
      <w:marLeft w:val="0"/>
      <w:marRight w:val="0"/>
      <w:marTop w:val="0"/>
      <w:marBottom w:val="0"/>
      <w:divBdr>
        <w:top w:val="none" w:sz="0" w:space="0" w:color="auto"/>
        <w:left w:val="none" w:sz="0" w:space="0" w:color="auto"/>
        <w:bottom w:val="none" w:sz="0" w:space="0" w:color="auto"/>
        <w:right w:val="none" w:sz="0" w:space="0" w:color="auto"/>
      </w:divBdr>
    </w:div>
    <w:div w:id="466581659">
      <w:bodyDiv w:val="1"/>
      <w:marLeft w:val="0"/>
      <w:marRight w:val="0"/>
      <w:marTop w:val="0"/>
      <w:marBottom w:val="0"/>
      <w:divBdr>
        <w:top w:val="none" w:sz="0" w:space="0" w:color="auto"/>
        <w:left w:val="none" w:sz="0" w:space="0" w:color="auto"/>
        <w:bottom w:val="none" w:sz="0" w:space="0" w:color="auto"/>
        <w:right w:val="none" w:sz="0" w:space="0" w:color="auto"/>
      </w:divBdr>
    </w:div>
    <w:div w:id="558171709">
      <w:bodyDiv w:val="1"/>
      <w:marLeft w:val="0"/>
      <w:marRight w:val="0"/>
      <w:marTop w:val="0"/>
      <w:marBottom w:val="0"/>
      <w:divBdr>
        <w:top w:val="none" w:sz="0" w:space="0" w:color="auto"/>
        <w:left w:val="none" w:sz="0" w:space="0" w:color="auto"/>
        <w:bottom w:val="none" w:sz="0" w:space="0" w:color="auto"/>
        <w:right w:val="none" w:sz="0" w:space="0" w:color="auto"/>
      </w:divBdr>
    </w:div>
    <w:div w:id="581335511">
      <w:bodyDiv w:val="1"/>
      <w:marLeft w:val="0"/>
      <w:marRight w:val="0"/>
      <w:marTop w:val="0"/>
      <w:marBottom w:val="0"/>
      <w:divBdr>
        <w:top w:val="none" w:sz="0" w:space="0" w:color="auto"/>
        <w:left w:val="none" w:sz="0" w:space="0" w:color="auto"/>
        <w:bottom w:val="none" w:sz="0" w:space="0" w:color="auto"/>
        <w:right w:val="none" w:sz="0" w:space="0" w:color="auto"/>
      </w:divBdr>
    </w:div>
    <w:div w:id="592933642">
      <w:bodyDiv w:val="1"/>
      <w:marLeft w:val="0"/>
      <w:marRight w:val="0"/>
      <w:marTop w:val="0"/>
      <w:marBottom w:val="0"/>
      <w:divBdr>
        <w:top w:val="none" w:sz="0" w:space="0" w:color="auto"/>
        <w:left w:val="none" w:sz="0" w:space="0" w:color="auto"/>
        <w:bottom w:val="none" w:sz="0" w:space="0" w:color="auto"/>
        <w:right w:val="none" w:sz="0" w:space="0" w:color="auto"/>
      </w:divBdr>
    </w:div>
    <w:div w:id="609746966">
      <w:bodyDiv w:val="1"/>
      <w:marLeft w:val="0"/>
      <w:marRight w:val="0"/>
      <w:marTop w:val="0"/>
      <w:marBottom w:val="0"/>
      <w:divBdr>
        <w:top w:val="none" w:sz="0" w:space="0" w:color="auto"/>
        <w:left w:val="none" w:sz="0" w:space="0" w:color="auto"/>
        <w:bottom w:val="none" w:sz="0" w:space="0" w:color="auto"/>
        <w:right w:val="none" w:sz="0" w:space="0" w:color="auto"/>
      </w:divBdr>
    </w:div>
    <w:div w:id="622269346">
      <w:bodyDiv w:val="1"/>
      <w:marLeft w:val="0"/>
      <w:marRight w:val="0"/>
      <w:marTop w:val="0"/>
      <w:marBottom w:val="0"/>
      <w:divBdr>
        <w:top w:val="none" w:sz="0" w:space="0" w:color="auto"/>
        <w:left w:val="none" w:sz="0" w:space="0" w:color="auto"/>
        <w:bottom w:val="none" w:sz="0" w:space="0" w:color="auto"/>
        <w:right w:val="none" w:sz="0" w:space="0" w:color="auto"/>
      </w:divBdr>
    </w:div>
    <w:div w:id="651835517">
      <w:bodyDiv w:val="1"/>
      <w:marLeft w:val="0"/>
      <w:marRight w:val="0"/>
      <w:marTop w:val="0"/>
      <w:marBottom w:val="0"/>
      <w:divBdr>
        <w:top w:val="none" w:sz="0" w:space="0" w:color="auto"/>
        <w:left w:val="none" w:sz="0" w:space="0" w:color="auto"/>
        <w:bottom w:val="none" w:sz="0" w:space="0" w:color="auto"/>
        <w:right w:val="none" w:sz="0" w:space="0" w:color="auto"/>
      </w:divBdr>
    </w:div>
    <w:div w:id="671682791">
      <w:bodyDiv w:val="1"/>
      <w:marLeft w:val="0"/>
      <w:marRight w:val="0"/>
      <w:marTop w:val="0"/>
      <w:marBottom w:val="0"/>
      <w:divBdr>
        <w:top w:val="none" w:sz="0" w:space="0" w:color="auto"/>
        <w:left w:val="none" w:sz="0" w:space="0" w:color="auto"/>
        <w:bottom w:val="none" w:sz="0" w:space="0" w:color="auto"/>
        <w:right w:val="none" w:sz="0" w:space="0" w:color="auto"/>
      </w:divBdr>
    </w:div>
    <w:div w:id="672493619">
      <w:bodyDiv w:val="1"/>
      <w:marLeft w:val="0"/>
      <w:marRight w:val="0"/>
      <w:marTop w:val="0"/>
      <w:marBottom w:val="0"/>
      <w:divBdr>
        <w:top w:val="none" w:sz="0" w:space="0" w:color="auto"/>
        <w:left w:val="none" w:sz="0" w:space="0" w:color="auto"/>
        <w:bottom w:val="none" w:sz="0" w:space="0" w:color="auto"/>
        <w:right w:val="none" w:sz="0" w:space="0" w:color="auto"/>
      </w:divBdr>
    </w:div>
    <w:div w:id="736711753">
      <w:bodyDiv w:val="1"/>
      <w:marLeft w:val="0"/>
      <w:marRight w:val="0"/>
      <w:marTop w:val="0"/>
      <w:marBottom w:val="0"/>
      <w:divBdr>
        <w:top w:val="none" w:sz="0" w:space="0" w:color="auto"/>
        <w:left w:val="none" w:sz="0" w:space="0" w:color="auto"/>
        <w:bottom w:val="none" w:sz="0" w:space="0" w:color="auto"/>
        <w:right w:val="none" w:sz="0" w:space="0" w:color="auto"/>
      </w:divBdr>
    </w:div>
    <w:div w:id="742920588">
      <w:bodyDiv w:val="1"/>
      <w:marLeft w:val="0"/>
      <w:marRight w:val="0"/>
      <w:marTop w:val="0"/>
      <w:marBottom w:val="0"/>
      <w:divBdr>
        <w:top w:val="none" w:sz="0" w:space="0" w:color="auto"/>
        <w:left w:val="none" w:sz="0" w:space="0" w:color="auto"/>
        <w:bottom w:val="none" w:sz="0" w:space="0" w:color="auto"/>
        <w:right w:val="none" w:sz="0" w:space="0" w:color="auto"/>
      </w:divBdr>
    </w:div>
    <w:div w:id="748312382">
      <w:bodyDiv w:val="1"/>
      <w:marLeft w:val="0"/>
      <w:marRight w:val="0"/>
      <w:marTop w:val="0"/>
      <w:marBottom w:val="0"/>
      <w:divBdr>
        <w:top w:val="none" w:sz="0" w:space="0" w:color="auto"/>
        <w:left w:val="none" w:sz="0" w:space="0" w:color="auto"/>
        <w:bottom w:val="none" w:sz="0" w:space="0" w:color="auto"/>
        <w:right w:val="none" w:sz="0" w:space="0" w:color="auto"/>
      </w:divBdr>
    </w:div>
    <w:div w:id="757824754">
      <w:bodyDiv w:val="1"/>
      <w:marLeft w:val="0"/>
      <w:marRight w:val="0"/>
      <w:marTop w:val="0"/>
      <w:marBottom w:val="0"/>
      <w:divBdr>
        <w:top w:val="none" w:sz="0" w:space="0" w:color="auto"/>
        <w:left w:val="none" w:sz="0" w:space="0" w:color="auto"/>
        <w:bottom w:val="none" w:sz="0" w:space="0" w:color="auto"/>
        <w:right w:val="none" w:sz="0" w:space="0" w:color="auto"/>
      </w:divBdr>
    </w:div>
    <w:div w:id="793788551">
      <w:bodyDiv w:val="1"/>
      <w:marLeft w:val="0"/>
      <w:marRight w:val="0"/>
      <w:marTop w:val="0"/>
      <w:marBottom w:val="0"/>
      <w:divBdr>
        <w:top w:val="none" w:sz="0" w:space="0" w:color="auto"/>
        <w:left w:val="none" w:sz="0" w:space="0" w:color="auto"/>
        <w:bottom w:val="none" w:sz="0" w:space="0" w:color="auto"/>
        <w:right w:val="none" w:sz="0" w:space="0" w:color="auto"/>
      </w:divBdr>
    </w:div>
    <w:div w:id="851723573">
      <w:bodyDiv w:val="1"/>
      <w:marLeft w:val="0"/>
      <w:marRight w:val="0"/>
      <w:marTop w:val="0"/>
      <w:marBottom w:val="0"/>
      <w:divBdr>
        <w:top w:val="none" w:sz="0" w:space="0" w:color="auto"/>
        <w:left w:val="none" w:sz="0" w:space="0" w:color="auto"/>
        <w:bottom w:val="none" w:sz="0" w:space="0" w:color="auto"/>
        <w:right w:val="none" w:sz="0" w:space="0" w:color="auto"/>
      </w:divBdr>
    </w:div>
    <w:div w:id="863976863">
      <w:bodyDiv w:val="1"/>
      <w:marLeft w:val="0"/>
      <w:marRight w:val="0"/>
      <w:marTop w:val="0"/>
      <w:marBottom w:val="0"/>
      <w:divBdr>
        <w:top w:val="none" w:sz="0" w:space="0" w:color="auto"/>
        <w:left w:val="none" w:sz="0" w:space="0" w:color="auto"/>
        <w:bottom w:val="none" w:sz="0" w:space="0" w:color="auto"/>
        <w:right w:val="none" w:sz="0" w:space="0" w:color="auto"/>
      </w:divBdr>
    </w:div>
    <w:div w:id="879167499">
      <w:bodyDiv w:val="1"/>
      <w:marLeft w:val="0"/>
      <w:marRight w:val="0"/>
      <w:marTop w:val="0"/>
      <w:marBottom w:val="0"/>
      <w:divBdr>
        <w:top w:val="none" w:sz="0" w:space="0" w:color="auto"/>
        <w:left w:val="none" w:sz="0" w:space="0" w:color="auto"/>
        <w:bottom w:val="none" w:sz="0" w:space="0" w:color="auto"/>
        <w:right w:val="none" w:sz="0" w:space="0" w:color="auto"/>
      </w:divBdr>
    </w:div>
    <w:div w:id="881595387">
      <w:bodyDiv w:val="1"/>
      <w:marLeft w:val="0"/>
      <w:marRight w:val="0"/>
      <w:marTop w:val="0"/>
      <w:marBottom w:val="0"/>
      <w:divBdr>
        <w:top w:val="none" w:sz="0" w:space="0" w:color="auto"/>
        <w:left w:val="none" w:sz="0" w:space="0" w:color="auto"/>
        <w:bottom w:val="none" w:sz="0" w:space="0" w:color="auto"/>
        <w:right w:val="none" w:sz="0" w:space="0" w:color="auto"/>
      </w:divBdr>
    </w:div>
    <w:div w:id="920025157">
      <w:bodyDiv w:val="1"/>
      <w:marLeft w:val="0"/>
      <w:marRight w:val="0"/>
      <w:marTop w:val="0"/>
      <w:marBottom w:val="0"/>
      <w:divBdr>
        <w:top w:val="none" w:sz="0" w:space="0" w:color="auto"/>
        <w:left w:val="none" w:sz="0" w:space="0" w:color="auto"/>
        <w:bottom w:val="none" w:sz="0" w:space="0" w:color="auto"/>
        <w:right w:val="none" w:sz="0" w:space="0" w:color="auto"/>
      </w:divBdr>
    </w:div>
    <w:div w:id="975375971">
      <w:bodyDiv w:val="1"/>
      <w:marLeft w:val="0"/>
      <w:marRight w:val="0"/>
      <w:marTop w:val="0"/>
      <w:marBottom w:val="0"/>
      <w:divBdr>
        <w:top w:val="none" w:sz="0" w:space="0" w:color="auto"/>
        <w:left w:val="none" w:sz="0" w:space="0" w:color="auto"/>
        <w:bottom w:val="none" w:sz="0" w:space="0" w:color="auto"/>
        <w:right w:val="none" w:sz="0" w:space="0" w:color="auto"/>
      </w:divBdr>
    </w:div>
    <w:div w:id="980773293">
      <w:bodyDiv w:val="1"/>
      <w:marLeft w:val="0"/>
      <w:marRight w:val="0"/>
      <w:marTop w:val="0"/>
      <w:marBottom w:val="0"/>
      <w:divBdr>
        <w:top w:val="none" w:sz="0" w:space="0" w:color="auto"/>
        <w:left w:val="none" w:sz="0" w:space="0" w:color="auto"/>
        <w:bottom w:val="none" w:sz="0" w:space="0" w:color="auto"/>
        <w:right w:val="none" w:sz="0" w:space="0" w:color="auto"/>
      </w:divBdr>
    </w:div>
    <w:div w:id="1015350879">
      <w:bodyDiv w:val="1"/>
      <w:marLeft w:val="0"/>
      <w:marRight w:val="0"/>
      <w:marTop w:val="0"/>
      <w:marBottom w:val="0"/>
      <w:divBdr>
        <w:top w:val="none" w:sz="0" w:space="0" w:color="auto"/>
        <w:left w:val="none" w:sz="0" w:space="0" w:color="auto"/>
        <w:bottom w:val="none" w:sz="0" w:space="0" w:color="auto"/>
        <w:right w:val="none" w:sz="0" w:space="0" w:color="auto"/>
      </w:divBdr>
    </w:div>
    <w:div w:id="1024943271">
      <w:bodyDiv w:val="1"/>
      <w:marLeft w:val="0"/>
      <w:marRight w:val="0"/>
      <w:marTop w:val="0"/>
      <w:marBottom w:val="0"/>
      <w:divBdr>
        <w:top w:val="none" w:sz="0" w:space="0" w:color="auto"/>
        <w:left w:val="none" w:sz="0" w:space="0" w:color="auto"/>
        <w:bottom w:val="none" w:sz="0" w:space="0" w:color="auto"/>
        <w:right w:val="none" w:sz="0" w:space="0" w:color="auto"/>
      </w:divBdr>
    </w:div>
    <w:div w:id="1076434975">
      <w:bodyDiv w:val="1"/>
      <w:marLeft w:val="0"/>
      <w:marRight w:val="0"/>
      <w:marTop w:val="0"/>
      <w:marBottom w:val="0"/>
      <w:divBdr>
        <w:top w:val="none" w:sz="0" w:space="0" w:color="auto"/>
        <w:left w:val="none" w:sz="0" w:space="0" w:color="auto"/>
        <w:bottom w:val="none" w:sz="0" w:space="0" w:color="auto"/>
        <w:right w:val="none" w:sz="0" w:space="0" w:color="auto"/>
      </w:divBdr>
    </w:div>
    <w:div w:id="1102922898">
      <w:bodyDiv w:val="1"/>
      <w:marLeft w:val="0"/>
      <w:marRight w:val="0"/>
      <w:marTop w:val="0"/>
      <w:marBottom w:val="0"/>
      <w:divBdr>
        <w:top w:val="none" w:sz="0" w:space="0" w:color="auto"/>
        <w:left w:val="none" w:sz="0" w:space="0" w:color="auto"/>
        <w:bottom w:val="none" w:sz="0" w:space="0" w:color="auto"/>
        <w:right w:val="none" w:sz="0" w:space="0" w:color="auto"/>
      </w:divBdr>
    </w:div>
    <w:div w:id="1120418436">
      <w:bodyDiv w:val="1"/>
      <w:marLeft w:val="0"/>
      <w:marRight w:val="0"/>
      <w:marTop w:val="0"/>
      <w:marBottom w:val="0"/>
      <w:divBdr>
        <w:top w:val="none" w:sz="0" w:space="0" w:color="auto"/>
        <w:left w:val="none" w:sz="0" w:space="0" w:color="auto"/>
        <w:bottom w:val="none" w:sz="0" w:space="0" w:color="auto"/>
        <w:right w:val="none" w:sz="0" w:space="0" w:color="auto"/>
      </w:divBdr>
    </w:div>
    <w:div w:id="1166673310">
      <w:bodyDiv w:val="1"/>
      <w:marLeft w:val="0"/>
      <w:marRight w:val="0"/>
      <w:marTop w:val="0"/>
      <w:marBottom w:val="0"/>
      <w:divBdr>
        <w:top w:val="none" w:sz="0" w:space="0" w:color="auto"/>
        <w:left w:val="none" w:sz="0" w:space="0" w:color="auto"/>
        <w:bottom w:val="none" w:sz="0" w:space="0" w:color="auto"/>
        <w:right w:val="none" w:sz="0" w:space="0" w:color="auto"/>
      </w:divBdr>
    </w:div>
    <w:div w:id="1169059972">
      <w:bodyDiv w:val="1"/>
      <w:marLeft w:val="0"/>
      <w:marRight w:val="0"/>
      <w:marTop w:val="0"/>
      <w:marBottom w:val="0"/>
      <w:divBdr>
        <w:top w:val="none" w:sz="0" w:space="0" w:color="auto"/>
        <w:left w:val="none" w:sz="0" w:space="0" w:color="auto"/>
        <w:bottom w:val="none" w:sz="0" w:space="0" w:color="auto"/>
        <w:right w:val="none" w:sz="0" w:space="0" w:color="auto"/>
      </w:divBdr>
    </w:div>
    <w:div w:id="1182664917">
      <w:bodyDiv w:val="1"/>
      <w:marLeft w:val="0"/>
      <w:marRight w:val="0"/>
      <w:marTop w:val="0"/>
      <w:marBottom w:val="0"/>
      <w:divBdr>
        <w:top w:val="none" w:sz="0" w:space="0" w:color="auto"/>
        <w:left w:val="none" w:sz="0" w:space="0" w:color="auto"/>
        <w:bottom w:val="none" w:sz="0" w:space="0" w:color="auto"/>
        <w:right w:val="none" w:sz="0" w:space="0" w:color="auto"/>
      </w:divBdr>
    </w:div>
    <w:div w:id="1189565225">
      <w:bodyDiv w:val="1"/>
      <w:marLeft w:val="0"/>
      <w:marRight w:val="0"/>
      <w:marTop w:val="0"/>
      <w:marBottom w:val="0"/>
      <w:divBdr>
        <w:top w:val="none" w:sz="0" w:space="0" w:color="auto"/>
        <w:left w:val="none" w:sz="0" w:space="0" w:color="auto"/>
        <w:bottom w:val="none" w:sz="0" w:space="0" w:color="auto"/>
        <w:right w:val="none" w:sz="0" w:space="0" w:color="auto"/>
      </w:divBdr>
    </w:div>
    <w:div w:id="1202286835">
      <w:bodyDiv w:val="1"/>
      <w:marLeft w:val="0"/>
      <w:marRight w:val="0"/>
      <w:marTop w:val="0"/>
      <w:marBottom w:val="0"/>
      <w:divBdr>
        <w:top w:val="none" w:sz="0" w:space="0" w:color="auto"/>
        <w:left w:val="none" w:sz="0" w:space="0" w:color="auto"/>
        <w:bottom w:val="none" w:sz="0" w:space="0" w:color="auto"/>
        <w:right w:val="none" w:sz="0" w:space="0" w:color="auto"/>
      </w:divBdr>
    </w:div>
    <w:div w:id="1212619590">
      <w:bodyDiv w:val="1"/>
      <w:marLeft w:val="0"/>
      <w:marRight w:val="0"/>
      <w:marTop w:val="0"/>
      <w:marBottom w:val="0"/>
      <w:divBdr>
        <w:top w:val="none" w:sz="0" w:space="0" w:color="auto"/>
        <w:left w:val="none" w:sz="0" w:space="0" w:color="auto"/>
        <w:bottom w:val="none" w:sz="0" w:space="0" w:color="auto"/>
        <w:right w:val="none" w:sz="0" w:space="0" w:color="auto"/>
      </w:divBdr>
    </w:div>
    <w:div w:id="1226448777">
      <w:bodyDiv w:val="1"/>
      <w:marLeft w:val="0"/>
      <w:marRight w:val="0"/>
      <w:marTop w:val="0"/>
      <w:marBottom w:val="0"/>
      <w:divBdr>
        <w:top w:val="none" w:sz="0" w:space="0" w:color="auto"/>
        <w:left w:val="none" w:sz="0" w:space="0" w:color="auto"/>
        <w:bottom w:val="none" w:sz="0" w:space="0" w:color="auto"/>
        <w:right w:val="none" w:sz="0" w:space="0" w:color="auto"/>
      </w:divBdr>
    </w:div>
    <w:div w:id="1244683607">
      <w:bodyDiv w:val="1"/>
      <w:marLeft w:val="0"/>
      <w:marRight w:val="0"/>
      <w:marTop w:val="0"/>
      <w:marBottom w:val="0"/>
      <w:divBdr>
        <w:top w:val="none" w:sz="0" w:space="0" w:color="auto"/>
        <w:left w:val="none" w:sz="0" w:space="0" w:color="auto"/>
        <w:bottom w:val="none" w:sz="0" w:space="0" w:color="auto"/>
        <w:right w:val="none" w:sz="0" w:space="0" w:color="auto"/>
      </w:divBdr>
    </w:div>
    <w:div w:id="1249316203">
      <w:bodyDiv w:val="1"/>
      <w:marLeft w:val="0"/>
      <w:marRight w:val="0"/>
      <w:marTop w:val="0"/>
      <w:marBottom w:val="0"/>
      <w:divBdr>
        <w:top w:val="none" w:sz="0" w:space="0" w:color="auto"/>
        <w:left w:val="none" w:sz="0" w:space="0" w:color="auto"/>
        <w:bottom w:val="none" w:sz="0" w:space="0" w:color="auto"/>
        <w:right w:val="none" w:sz="0" w:space="0" w:color="auto"/>
      </w:divBdr>
    </w:div>
    <w:div w:id="1257516904">
      <w:bodyDiv w:val="1"/>
      <w:marLeft w:val="0"/>
      <w:marRight w:val="0"/>
      <w:marTop w:val="0"/>
      <w:marBottom w:val="0"/>
      <w:divBdr>
        <w:top w:val="none" w:sz="0" w:space="0" w:color="auto"/>
        <w:left w:val="none" w:sz="0" w:space="0" w:color="auto"/>
        <w:bottom w:val="none" w:sz="0" w:space="0" w:color="auto"/>
        <w:right w:val="none" w:sz="0" w:space="0" w:color="auto"/>
      </w:divBdr>
    </w:div>
    <w:div w:id="1304508726">
      <w:bodyDiv w:val="1"/>
      <w:marLeft w:val="0"/>
      <w:marRight w:val="0"/>
      <w:marTop w:val="0"/>
      <w:marBottom w:val="0"/>
      <w:divBdr>
        <w:top w:val="none" w:sz="0" w:space="0" w:color="auto"/>
        <w:left w:val="none" w:sz="0" w:space="0" w:color="auto"/>
        <w:bottom w:val="none" w:sz="0" w:space="0" w:color="auto"/>
        <w:right w:val="none" w:sz="0" w:space="0" w:color="auto"/>
      </w:divBdr>
    </w:div>
    <w:div w:id="1331105735">
      <w:bodyDiv w:val="1"/>
      <w:marLeft w:val="0"/>
      <w:marRight w:val="0"/>
      <w:marTop w:val="0"/>
      <w:marBottom w:val="0"/>
      <w:divBdr>
        <w:top w:val="none" w:sz="0" w:space="0" w:color="auto"/>
        <w:left w:val="none" w:sz="0" w:space="0" w:color="auto"/>
        <w:bottom w:val="none" w:sz="0" w:space="0" w:color="auto"/>
        <w:right w:val="none" w:sz="0" w:space="0" w:color="auto"/>
      </w:divBdr>
    </w:div>
    <w:div w:id="1351764388">
      <w:bodyDiv w:val="1"/>
      <w:marLeft w:val="0"/>
      <w:marRight w:val="0"/>
      <w:marTop w:val="0"/>
      <w:marBottom w:val="0"/>
      <w:divBdr>
        <w:top w:val="none" w:sz="0" w:space="0" w:color="auto"/>
        <w:left w:val="none" w:sz="0" w:space="0" w:color="auto"/>
        <w:bottom w:val="none" w:sz="0" w:space="0" w:color="auto"/>
        <w:right w:val="none" w:sz="0" w:space="0" w:color="auto"/>
      </w:divBdr>
    </w:div>
    <w:div w:id="1367023113">
      <w:bodyDiv w:val="1"/>
      <w:marLeft w:val="0"/>
      <w:marRight w:val="0"/>
      <w:marTop w:val="0"/>
      <w:marBottom w:val="0"/>
      <w:divBdr>
        <w:top w:val="none" w:sz="0" w:space="0" w:color="auto"/>
        <w:left w:val="none" w:sz="0" w:space="0" w:color="auto"/>
        <w:bottom w:val="none" w:sz="0" w:space="0" w:color="auto"/>
        <w:right w:val="none" w:sz="0" w:space="0" w:color="auto"/>
      </w:divBdr>
    </w:div>
    <w:div w:id="1384907324">
      <w:bodyDiv w:val="1"/>
      <w:marLeft w:val="0"/>
      <w:marRight w:val="0"/>
      <w:marTop w:val="0"/>
      <w:marBottom w:val="0"/>
      <w:divBdr>
        <w:top w:val="none" w:sz="0" w:space="0" w:color="auto"/>
        <w:left w:val="none" w:sz="0" w:space="0" w:color="auto"/>
        <w:bottom w:val="none" w:sz="0" w:space="0" w:color="auto"/>
        <w:right w:val="none" w:sz="0" w:space="0" w:color="auto"/>
      </w:divBdr>
    </w:div>
    <w:div w:id="1411003308">
      <w:bodyDiv w:val="1"/>
      <w:marLeft w:val="0"/>
      <w:marRight w:val="0"/>
      <w:marTop w:val="0"/>
      <w:marBottom w:val="0"/>
      <w:divBdr>
        <w:top w:val="none" w:sz="0" w:space="0" w:color="auto"/>
        <w:left w:val="none" w:sz="0" w:space="0" w:color="auto"/>
        <w:bottom w:val="none" w:sz="0" w:space="0" w:color="auto"/>
        <w:right w:val="none" w:sz="0" w:space="0" w:color="auto"/>
      </w:divBdr>
    </w:div>
    <w:div w:id="1431004566">
      <w:bodyDiv w:val="1"/>
      <w:marLeft w:val="0"/>
      <w:marRight w:val="0"/>
      <w:marTop w:val="0"/>
      <w:marBottom w:val="0"/>
      <w:divBdr>
        <w:top w:val="none" w:sz="0" w:space="0" w:color="auto"/>
        <w:left w:val="none" w:sz="0" w:space="0" w:color="auto"/>
        <w:bottom w:val="none" w:sz="0" w:space="0" w:color="auto"/>
        <w:right w:val="none" w:sz="0" w:space="0" w:color="auto"/>
      </w:divBdr>
    </w:div>
    <w:div w:id="1474062019">
      <w:bodyDiv w:val="1"/>
      <w:marLeft w:val="0"/>
      <w:marRight w:val="0"/>
      <w:marTop w:val="0"/>
      <w:marBottom w:val="0"/>
      <w:divBdr>
        <w:top w:val="none" w:sz="0" w:space="0" w:color="auto"/>
        <w:left w:val="none" w:sz="0" w:space="0" w:color="auto"/>
        <w:bottom w:val="none" w:sz="0" w:space="0" w:color="auto"/>
        <w:right w:val="none" w:sz="0" w:space="0" w:color="auto"/>
      </w:divBdr>
    </w:div>
    <w:div w:id="1502357975">
      <w:bodyDiv w:val="1"/>
      <w:marLeft w:val="0"/>
      <w:marRight w:val="0"/>
      <w:marTop w:val="0"/>
      <w:marBottom w:val="0"/>
      <w:divBdr>
        <w:top w:val="none" w:sz="0" w:space="0" w:color="auto"/>
        <w:left w:val="none" w:sz="0" w:space="0" w:color="auto"/>
        <w:bottom w:val="none" w:sz="0" w:space="0" w:color="auto"/>
        <w:right w:val="none" w:sz="0" w:space="0" w:color="auto"/>
      </w:divBdr>
    </w:div>
    <w:div w:id="1503812958">
      <w:bodyDiv w:val="1"/>
      <w:marLeft w:val="0"/>
      <w:marRight w:val="0"/>
      <w:marTop w:val="0"/>
      <w:marBottom w:val="0"/>
      <w:divBdr>
        <w:top w:val="none" w:sz="0" w:space="0" w:color="auto"/>
        <w:left w:val="none" w:sz="0" w:space="0" w:color="auto"/>
        <w:bottom w:val="none" w:sz="0" w:space="0" w:color="auto"/>
        <w:right w:val="none" w:sz="0" w:space="0" w:color="auto"/>
      </w:divBdr>
    </w:div>
    <w:div w:id="1509440658">
      <w:bodyDiv w:val="1"/>
      <w:marLeft w:val="0"/>
      <w:marRight w:val="0"/>
      <w:marTop w:val="0"/>
      <w:marBottom w:val="0"/>
      <w:divBdr>
        <w:top w:val="none" w:sz="0" w:space="0" w:color="auto"/>
        <w:left w:val="none" w:sz="0" w:space="0" w:color="auto"/>
        <w:bottom w:val="none" w:sz="0" w:space="0" w:color="auto"/>
        <w:right w:val="none" w:sz="0" w:space="0" w:color="auto"/>
      </w:divBdr>
    </w:div>
    <w:div w:id="1524588178">
      <w:bodyDiv w:val="1"/>
      <w:marLeft w:val="0"/>
      <w:marRight w:val="0"/>
      <w:marTop w:val="0"/>
      <w:marBottom w:val="0"/>
      <w:divBdr>
        <w:top w:val="none" w:sz="0" w:space="0" w:color="auto"/>
        <w:left w:val="none" w:sz="0" w:space="0" w:color="auto"/>
        <w:bottom w:val="none" w:sz="0" w:space="0" w:color="auto"/>
        <w:right w:val="none" w:sz="0" w:space="0" w:color="auto"/>
      </w:divBdr>
    </w:div>
    <w:div w:id="1560551661">
      <w:bodyDiv w:val="1"/>
      <w:marLeft w:val="0"/>
      <w:marRight w:val="0"/>
      <w:marTop w:val="0"/>
      <w:marBottom w:val="0"/>
      <w:divBdr>
        <w:top w:val="none" w:sz="0" w:space="0" w:color="auto"/>
        <w:left w:val="none" w:sz="0" w:space="0" w:color="auto"/>
        <w:bottom w:val="none" w:sz="0" w:space="0" w:color="auto"/>
        <w:right w:val="none" w:sz="0" w:space="0" w:color="auto"/>
      </w:divBdr>
    </w:div>
    <w:div w:id="1576277181">
      <w:bodyDiv w:val="1"/>
      <w:marLeft w:val="0"/>
      <w:marRight w:val="0"/>
      <w:marTop w:val="0"/>
      <w:marBottom w:val="0"/>
      <w:divBdr>
        <w:top w:val="none" w:sz="0" w:space="0" w:color="auto"/>
        <w:left w:val="none" w:sz="0" w:space="0" w:color="auto"/>
        <w:bottom w:val="none" w:sz="0" w:space="0" w:color="auto"/>
        <w:right w:val="none" w:sz="0" w:space="0" w:color="auto"/>
      </w:divBdr>
    </w:div>
    <w:div w:id="1605574136">
      <w:bodyDiv w:val="1"/>
      <w:marLeft w:val="0"/>
      <w:marRight w:val="0"/>
      <w:marTop w:val="0"/>
      <w:marBottom w:val="0"/>
      <w:divBdr>
        <w:top w:val="none" w:sz="0" w:space="0" w:color="auto"/>
        <w:left w:val="none" w:sz="0" w:space="0" w:color="auto"/>
        <w:bottom w:val="none" w:sz="0" w:space="0" w:color="auto"/>
        <w:right w:val="none" w:sz="0" w:space="0" w:color="auto"/>
      </w:divBdr>
    </w:div>
    <w:div w:id="1653635880">
      <w:bodyDiv w:val="1"/>
      <w:marLeft w:val="0"/>
      <w:marRight w:val="0"/>
      <w:marTop w:val="0"/>
      <w:marBottom w:val="0"/>
      <w:divBdr>
        <w:top w:val="none" w:sz="0" w:space="0" w:color="auto"/>
        <w:left w:val="none" w:sz="0" w:space="0" w:color="auto"/>
        <w:bottom w:val="none" w:sz="0" w:space="0" w:color="auto"/>
        <w:right w:val="none" w:sz="0" w:space="0" w:color="auto"/>
      </w:divBdr>
    </w:div>
    <w:div w:id="1670867369">
      <w:bodyDiv w:val="1"/>
      <w:marLeft w:val="0"/>
      <w:marRight w:val="0"/>
      <w:marTop w:val="0"/>
      <w:marBottom w:val="0"/>
      <w:divBdr>
        <w:top w:val="none" w:sz="0" w:space="0" w:color="auto"/>
        <w:left w:val="none" w:sz="0" w:space="0" w:color="auto"/>
        <w:bottom w:val="none" w:sz="0" w:space="0" w:color="auto"/>
        <w:right w:val="none" w:sz="0" w:space="0" w:color="auto"/>
      </w:divBdr>
    </w:div>
    <w:div w:id="1690332612">
      <w:bodyDiv w:val="1"/>
      <w:marLeft w:val="0"/>
      <w:marRight w:val="0"/>
      <w:marTop w:val="0"/>
      <w:marBottom w:val="0"/>
      <w:divBdr>
        <w:top w:val="none" w:sz="0" w:space="0" w:color="auto"/>
        <w:left w:val="none" w:sz="0" w:space="0" w:color="auto"/>
        <w:bottom w:val="none" w:sz="0" w:space="0" w:color="auto"/>
        <w:right w:val="none" w:sz="0" w:space="0" w:color="auto"/>
      </w:divBdr>
    </w:div>
    <w:div w:id="1725177089">
      <w:bodyDiv w:val="1"/>
      <w:marLeft w:val="0"/>
      <w:marRight w:val="0"/>
      <w:marTop w:val="0"/>
      <w:marBottom w:val="0"/>
      <w:divBdr>
        <w:top w:val="none" w:sz="0" w:space="0" w:color="auto"/>
        <w:left w:val="none" w:sz="0" w:space="0" w:color="auto"/>
        <w:bottom w:val="none" w:sz="0" w:space="0" w:color="auto"/>
        <w:right w:val="none" w:sz="0" w:space="0" w:color="auto"/>
      </w:divBdr>
    </w:div>
    <w:div w:id="1746340137">
      <w:bodyDiv w:val="1"/>
      <w:marLeft w:val="0"/>
      <w:marRight w:val="0"/>
      <w:marTop w:val="0"/>
      <w:marBottom w:val="0"/>
      <w:divBdr>
        <w:top w:val="none" w:sz="0" w:space="0" w:color="auto"/>
        <w:left w:val="none" w:sz="0" w:space="0" w:color="auto"/>
        <w:bottom w:val="none" w:sz="0" w:space="0" w:color="auto"/>
        <w:right w:val="none" w:sz="0" w:space="0" w:color="auto"/>
      </w:divBdr>
    </w:div>
    <w:div w:id="1765177793">
      <w:bodyDiv w:val="1"/>
      <w:marLeft w:val="0"/>
      <w:marRight w:val="0"/>
      <w:marTop w:val="0"/>
      <w:marBottom w:val="0"/>
      <w:divBdr>
        <w:top w:val="none" w:sz="0" w:space="0" w:color="auto"/>
        <w:left w:val="none" w:sz="0" w:space="0" w:color="auto"/>
        <w:bottom w:val="none" w:sz="0" w:space="0" w:color="auto"/>
        <w:right w:val="none" w:sz="0" w:space="0" w:color="auto"/>
      </w:divBdr>
    </w:div>
    <w:div w:id="1781954280">
      <w:bodyDiv w:val="1"/>
      <w:marLeft w:val="0"/>
      <w:marRight w:val="0"/>
      <w:marTop w:val="0"/>
      <w:marBottom w:val="0"/>
      <w:divBdr>
        <w:top w:val="none" w:sz="0" w:space="0" w:color="auto"/>
        <w:left w:val="none" w:sz="0" w:space="0" w:color="auto"/>
        <w:bottom w:val="none" w:sz="0" w:space="0" w:color="auto"/>
        <w:right w:val="none" w:sz="0" w:space="0" w:color="auto"/>
      </w:divBdr>
    </w:div>
    <w:div w:id="1792701237">
      <w:bodyDiv w:val="1"/>
      <w:marLeft w:val="0"/>
      <w:marRight w:val="0"/>
      <w:marTop w:val="0"/>
      <w:marBottom w:val="0"/>
      <w:divBdr>
        <w:top w:val="none" w:sz="0" w:space="0" w:color="auto"/>
        <w:left w:val="none" w:sz="0" w:space="0" w:color="auto"/>
        <w:bottom w:val="none" w:sz="0" w:space="0" w:color="auto"/>
        <w:right w:val="none" w:sz="0" w:space="0" w:color="auto"/>
      </w:divBdr>
    </w:div>
    <w:div w:id="1839803708">
      <w:bodyDiv w:val="1"/>
      <w:marLeft w:val="0"/>
      <w:marRight w:val="0"/>
      <w:marTop w:val="0"/>
      <w:marBottom w:val="0"/>
      <w:divBdr>
        <w:top w:val="none" w:sz="0" w:space="0" w:color="auto"/>
        <w:left w:val="none" w:sz="0" w:space="0" w:color="auto"/>
        <w:bottom w:val="none" w:sz="0" w:space="0" w:color="auto"/>
        <w:right w:val="none" w:sz="0" w:space="0" w:color="auto"/>
      </w:divBdr>
    </w:div>
    <w:div w:id="1841693808">
      <w:bodyDiv w:val="1"/>
      <w:marLeft w:val="0"/>
      <w:marRight w:val="0"/>
      <w:marTop w:val="0"/>
      <w:marBottom w:val="0"/>
      <w:divBdr>
        <w:top w:val="none" w:sz="0" w:space="0" w:color="auto"/>
        <w:left w:val="none" w:sz="0" w:space="0" w:color="auto"/>
        <w:bottom w:val="none" w:sz="0" w:space="0" w:color="auto"/>
        <w:right w:val="none" w:sz="0" w:space="0" w:color="auto"/>
      </w:divBdr>
    </w:div>
    <w:div w:id="1855806515">
      <w:bodyDiv w:val="1"/>
      <w:marLeft w:val="0"/>
      <w:marRight w:val="0"/>
      <w:marTop w:val="0"/>
      <w:marBottom w:val="0"/>
      <w:divBdr>
        <w:top w:val="none" w:sz="0" w:space="0" w:color="auto"/>
        <w:left w:val="none" w:sz="0" w:space="0" w:color="auto"/>
        <w:bottom w:val="none" w:sz="0" w:space="0" w:color="auto"/>
        <w:right w:val="none" w:sz="0" w:space="0" w:color="auto"/>
      </w:divBdr>
    </w:div>
    <w:div w:id="1857384857">
      <w:bodyDiv w:val="1"/>
      <w:marLeft w:val="0"/>
      <w:marRight w:val="0"/>
      <w:marTop w:val="0"/>
      <w:marBottom w:val="0"/>
      <w:divBdr>
        <w:top w:val="none" w:sz="0" w:space="0" w:color="auto"/>
        <w:left w:val="none" w:sz="0" w:space="0" w:color="auto"/>
        <w:bottom w:val="none" w:sz="0" w:space="0" w:color="auto"/>
        <w:right w:val="none" w:sz="0" w:space="0" w:color="auto"/>
      </w:divBdr>
    </w:div>
    <w:div w:id="1859733756">
      <w:bodyDiv w:val="1"/>
      <w:marLeft w:val="0"/>
      <w:marRight w:val="0"/>
      <w:marTop w:val="0"/>
      <w:marBottom w:val="0"/>
      <w:divBdr>
        <w:top w:val="none" w:sz="0" w:space="0" w:color="auto"/>
        <w:left w:val="none" w:sz="0" w:space="0" w:color="auto"/>
        <w:bottom w:val="none" w:sz="0" w:space="0" w:color="auto"/>
        <w:right w:val="none" w:sz="0" w:space="0" w:color="auto"/>
      </w:divBdr>
    </w:div>
    <w:div w:id="1884246929">
      <w:bodyDiv w:val="1"/>
      <w:marLeft w:val="0"/>
      <w:marRight w:val="0"/>
      <w:marTop w:val="0"/>
      <w:marBottom w:val="0"/>
      <w:divBdr>
        <w:top w:val="none" w:sz="0" w:space="0" w:color="auto"/>
        <w:left w:val="none" w:sz="0" w:space="0" w:color="auto"/>
        <w:bottom w:val="none" w:sz="0" w:space="0" w:color="auto"/>
        <w:right w:val="none" w:sz="0" w:space="0" w:color="auto"/>
      </w:divBdr>
    </w:div>
    <w:div w:id="1884320923">
      <w:bodyDiv w:val="1"/>
      <w:marLeft w:val="0"/>
      <w:marRight w:val="0"/>
      <w:marTop w:val="0"/>
      <w:marBottom w:val="0"/>
      <w:divBdr>
        <w:top w:val="none" w:sz="0" w:space="0" w:color="auto"/>
        <w:left w:val="none" w:sz="0" w:space="0" w:color="auto"/>
        <w:bottom w:val="none" w:sz="0" w:space="0" w:color="auto"/>
        <w:right w:val="none" w:sz="0" w:space="0" w:color="auto"/>
      </w:divBdr>
    </w:div>
    <w:div w:id="1891185347">
      <w:bodyDiv w:val="1"/>
      <w:marLeft w:val="0"/>
      <w:marRight w:val="0"/>
      <w:marTop w:val="0"/>
      <w:marBottom w:val="0"/>
      <w:divBdr>
        <w:top w:val="none" w:sz="0" w:space="0" w:color="auto"/>
        <w:left w:val="none" w:sz="0" w:space="0" w:color="auto"/>
        <w:bottom w:val="none" w:sz="0" w:space="0" w:color="auto"/>
        <w:right w:val="none" w:sz="0" w:space="0" w:color="auto"/>
      </w:divBdr>
    </w:div>
    <w:div w:id="1897009071">
      <w:bodyDiv w:val="1"/>
      <w:marLeft w:val="0"/>
      <w:marRight w:val="0"/>
      <w:marTop w:val="0"/>
      <w:marBottom w:val="0"/>
      <w:divBdr>
        <w:top w:val="none" w:sz="0" w:space="0" w:color="auto"/>
        <w:left w:val="none" w:sz="0" w:space="0" w:color="auto"/>
        <w:bottom w:val="none" w:sz="0" w:space="0" w:color="auto"/>
        <w:right w:val="none" w:sz="0" w:space="0" w:color="auto"/>
      </w:divBdr>
    </w:div>
    <w:div w:id="1932467617">
      <w:bodyDiv w:val="1"/>
      <w:marLeft w:val="0"/>
      <w:marRight w:val="0"/>
      <w:marTop w:val="0"/>
      <w:marBottom w:val="0"/>
      <w:divBdr>
        <w:top w:val="none" w:sz="0" w:space="0" w:color="auto"/>
        <w:left w:val="none" w:sz="0" w:space="0" w:color="auto"/>
        <w:bottom w:val="none" w:sz="0" w:space="0" w:color="auto"/>
        <w:right w:val="none" w:sz="0" w:space="0" w:color="auto"/>
      </w:divBdr>
    </w:div>
    <w:div w:id="1975327914">
      <w:bodyDiv w:val="1"/>
      <w:marLeft w:val="0"/>
      <w:marRight w:val="0"/>
      <w:marTop w:val="0"/>
      <w:marBottom w:val="0"/>
      <w:divBdr>
        <w:top w:val="none" w:sz="0" w:space="0" w:color="auto"/>
        <w:left w:val="none" w:sz="0" w:space="0" w:color="auto"/>
        <w:bottom w:val="none" w:sz="0" w:space="0" w:color="auto"/>
        <w:right w:val="none" w:sz="0" w:space="0" w:color="auto"/>
      </w:divBdr>
    </w:div>
    <w:div w:id="1981382146">
      <w:bodyDiv w:val="1"/>
      <w:marLeft w:val="0"/>
      <w:marRight w:val="0"/>
      <w:marTop w:val="0"/>
      <w:marBottom w:val="0"/>
      <w:divBdr>
        <w:top w:val="none" w:sz="0" w:space="0" w:color="auto"/>
        <w:left w:val="none" w:sz="0" w:space="0" w:color="auto"/>
        <w:bottom w:val="none" w:sz="0" w:space="0" w:color="auto"/>
        <w:right w:val="none" w:sz="0" w:space="0" w:color="auto"/>
      </w:divBdr>
    </w:div>
    <w:div w:id="1998023907">
      <w:bodyDiv w:val="1"/>
      <w:marLeft w:val="0"/>
      <w:marRight w:val="0"/>
      <w:marTop w:val="0"/>
      <w:marBottom w:val="0"/>
      <w:divBdr>
        <w:top w:val="none" w:sz="0" w:space="0" w:color="auto"/>
        <w:left w:val="none" w:sz="0" w:space="0" w:color="auto"/>
        <w:bottom w:val="none" w:sz="0" w:space="0" w:color="auto"/>
        <w:right w:val="none" w:sz="0" w:space="0" w:color="auto"/>
      </w:divBdr>
    </w:div>
    <w:div w:id="1999310892">
      <w:bodyDiv w:val="1"/>
      <w:marLeft w:val="0"/>
      <w:marRight w:val="0"/>
      <w:marTop w:val="0"/>
      <w:marBottom w:val="0"/>
      <w:divBdr>
        <w:top w:val="none" w:sz="0" w:space="0" w:color="auto"/>
        <w:left w:val="none" w:sz="0" w:space="0" w:color="auto"/>
        <w:bottom w:val="none" w:sz="0" w:space="0" w:color="auto"/>
        <w:right w:val="none" w:sz="0" w:space="0" w:color="auto"/>
      </w:divBdr>
    </w:div>
    <w:div w:id="2093157791">
      <w:bodyDiv w:val="1"/>
      <w:marLeft w:val="0"/>
      <w:marRight w:val="0"/>
      <w:marTop w:val="0"/>
      <w:marBottom w:val="0"/>
      <w:divBdr>
        <w:top w:val="none" w:sz="0" w:space="0" w:color="auto"/>
        <w:left w:val="none" w:sz="0" w:space="0" w:color="auto"/>
        <w:bottom w:val="none" w:sz="0" w:space="0" w:color="auto"/>
        <w:right w:val="none" w:sz="0" w:space="0" w:color="auto"/>
      </w:divBdr>
    </w:div>
    <w:div w:id="2112041726">
      <w:bodyDiv w:val="1"/>
      <w:marLeft w:val="0"/>
      <w:marRight w:val="0"/>
      <w:marTop w:val="0"/>
      <w:marBottom w:val="0"/>
      <w:divBdr>
        <w:top w:val="none" w:sz="0" w:space="0" w:color="auto"/>
        <w:left w:val="none" w:sz="0" w:space="0" w:color="auto"/>
        <w:bottom w:val="none" w:sz="0" w:space="0" w:color="auto"/>
        <w:right w:val="none" w:sz="0" w:space="0" w:color="auto"/>
      </w:divBdr>
    </w:div>
    <w:div w:id="213733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0091B-D66D-4EF9-8211-FF0051B81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12</Pages>
  <Words>20809</Words>
  <Characters>118614</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dc:description/>
  <cp:lastModifiedBy>sabo benson</cp:lastModifiedBy>
  <cp:revision>19</cp:revision>
  <cp:lastPrinted>2026-08-13T09:32:00Z</cp:lastPrinted>
  <dcterms:created xsi:type="dcterms:W3CDTF">2026-05-28T05:41:00Z</dcterms:created>
  <dcterms:modified xsi:type="dcterms:W3CDTF">2026-08-13T09:38:00Z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b8aeba65-fd3e-3004-8461-d3052a86d190</vt:lpwstr>
  </property>
  <property fmtid="{D5CDD505-2E9C-101B-9397-08002B2CF9AE}" pid="24" name="Mendeley Citation Style_1">
    <vt:lpwstr>http://www.zotero.org/styles/apa</vt:lpwstr>
  </property>
</Properties>
</file>