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6347" w:rsidRDefault="001E5A10" w:rsidP="00BF1173">
      <w:pPr>
        <w:spacing w:line="360" w:lineRule="auto"/>
        <w:jc w:val="center"/>
        <w:rPr>
          <w:rFonts w:ascii="Times New Roman" w:hAnsi="Times New Roman" w:cs="Times New Roman"/>
          <w:sz w:val="48"/>
          <w:szCs w:val="48"/>
        </w:rPr>
      </w:pPr>
      <w:r w:rsidRPr="001E5A10">
        <w:rPr>
          <w:rFonts w:ascii="Times New Roman" w:hAnsi="Times New Roman" w:cs="Times New Roman"/>
          <w:sz w:val="48"/>
          <w:szCs w:val="48"/>
        </w:rPr>
        <w:t>An Explainable AI Approach for Pulmonary Edema Classification Using Chest X-Ray Images</w:t>
      </w:r>
    </w:p>
    <w:p w:rsidR="001E5A10" w:rsidRDefault="00F42D29" w:rsidP="00FA770B">
      <w:pPr>
        <w:pBdr>
          <w:top w:val="single" w:sz="12" w:space="1" w:color="auto"/>
        </w:pBdr>
        <w:spacing w:line="360" w:lineRule="auto"/>
        <w:jc w:val="center"/>
        <w:rPr>
          <w:rFonts w:ascii="Times New Roman" w:hAnsi="Times New Roman" w:cs="Times New Roman"/>
          <w:sz w:val="20"/>
          <w:szCs w:val="48"/>
        </w:rPr>
      </w:pPr>
      <w:r>
        <w:rPr>
          <w:rFonts w:ascii="Times New Roman" w:hAnsi="Times New Roman" w:cs="Times New Roman"/>
          <w:sz w:val="20"/>
          <w:szCs w:val="48"/>
        </w:rPr>
        <w:t>Boniface Ben Sankwa</w:t>
      </w:r>
    </w:p>
    <w:p w:rsidR="001E5A10" w:rsidRDefault="00193695" w:rsidP="00FA770B">
      <w:pPr>
        <w:pBdr>
          <w:bottom w:val="single" w:sz="12" w:space="1" w:color="auto"/>
        </w:pBdr>
        <w:spacing w:line="360" w:lineRule="auto"/>
        <w:jc w:val="center"/>
        <w:rPr>
          <w:rFonts w:ascii="Times New Roman" w:hAnsi="Times New Roman" w:cs="Times New Roman"/>
          <w:sz w:val="20"/>
          <w:szCs w:val="48"/>
        </w:rPr>
      </w:pPr>
      <w:r>
        <w:rPr>
          <w:rFonts w:ascii="Times New Roman" w:hAnsi="Times New Roman" w:cs="Times New Roman"/>
          <w:sz w:val="20"/>
          <w:szCs w:val="48"/>
        </w:rPr>
        <w:t>Department of Electronics and Telecommunication Engineering</w:t>
      </w:r>
    </w:p>
    <w:p w:rsidR="007F4B7B" w:rsidRPr="007F4B7B" w:rsidRDefault="007F4B7B" w:rsidP="007F4B7B">
      <w:pPr>
        <w:sectPr w:rsidR="007F4B7B" w:rsidRPr="007F4B7B" w:rsidSect="00E63348">
          <w:pgSz w:w="11909" w:h="16834" w:code="9"/>
          <w:pgMar w:top="1440" w:right="1440" w:bottom="1440" w:left="1440" w:header="720" w:footer="720" w:gutter="0"/>
          <w:cols w:space="720"/>
          <w:docGrid w:linePitch="360"/>
        </w:sectPr>
      </w:pPr>
    </w:p>
    <w:p w:rsidR="003C3F45" w:rsidRPr="00193695" w:rsidRDefault="003C3F45" w:rsidP="00193695">
      <w:pPr>
        <w:pStyle w:val="Heading1"/>
        <w:rPr>
          <w:rStyle w:val="Strong"/>
          <w:b/>
          <w:bCs w:val="0"/>
        </w:rPr>
      </w:pPr>
      <w:r w:rsidRPr="00193695">
        <w:rPr>
          <w:rStyle w:val="Strong"/>
          <w:b/>
          <w:bCs w:val="0"/>
        </w:rPr>
        <w:t>ABSTRACT</w:t>
      </w:r>
    </w:p>
    <w:p w:rsidR="003C3F45" w:rsidRPr="003C3F45" w:rsidRDefault="003C3F45" w:rsidP="008E4717">
      <w:pPr>
        <w:pStyle w:val="HTMLPreformatted"/>
        <w:spacing w:line="360" w:lineRule="auto"/>
        <w:jc w:val="both"/>
        <w:rPr>
          <w:rFonts w:ascii="Times New Roman" w:hAnsi="Times New Roman" w:cs="Times New Roman"/>
          <w:sz w:val="24"/>
        </w:rPr>
      </w:pPr>
      <w:r w:rsidRPr="003C3F45">
        <w:rPr>
          <w:rFonts w:ascii="Times New Roman" w:hAnsi="Times New Roman" w:cs="Times New Roman"/>
          <w:b/>
          <w:sz w:val="24"/>
        </w:rPr>
        <w:t>Background:</w:t>
      </w:r>
      <w:r w:rsidRPr="003C3F45">
        <w:t xml:space="preserve"> </w:t>
      </w:r>
      <w:r w:rsidRPr="003C3F45">
        <w:rPr>
          <w:rFonts w:ascii="Times New Roman" w:hAnsi="Times New Roman" w:cs="Times New Roman"/>
          <w:sz w:val="24"/>
        </w:rPr>
        <w:t>Pulmonary edema is a life-threatening condition requiring</w:t>
      </w:r>
      <w:r w:rsidR="008E4717">
        <w:rPr>
          <w:rFonts w:ascii="Times New Roman" w:hAnsi="Times New Roman" w:cs="Times New Roman"/>
          <w:sz w:val="24"/>
        </w:rPr>
        <w:t xml:space="preserve"> </w:t>
      </w:r>
      <w:r w:rsidRPr="003C3F45">
        <w:rPr>
          <w:rFonts w:ascii="Times New Roman" w:hAnsi="Times New Roman" w:cs="Times New Roman"/>
          <w:sz w:val="24"/>
        </w:rPr>
        <w:t>rapid diagnosis from chest X-rays. Artificial intelligence may assist</w:t>
      </w:r>
      <w:r w:rsidR="008E4717">
        <w:rPr>
          <w:rFonts w:ascii="Times New Roman" w:hAnsi="Times New Roman" w:cs="Times New Roman"/>
          <w:sz w:val="24"/>
        </w:rPr>
        <w:t xml:space="preserve"> </w:t>
      </w:r>
      <w:r w:rsidRPr="003C3F45">
        <w:rPr>
          <w:rFonts w:ascii="Times New Roman" w:hAnsi="Times New Roman" w:cs="Times New Roman"/>
          <w:sz w:val="24"/>
        </w:rPr>
        <w:t>radiologists, but "black box" models</w:t>
      </w:r>
      <w:r w:rsidR="004B56BD">
        <w:rPr>
          <w:rFonts w:ascii="Times New Roman" w:hAnsi="Times New Roman" w:cs="Times New Roman"/>
          <w:sz w:val="24"/>
        </w:rPr>
        <w:t xml:space="preserve"> lack clinical interpretability, </w:t>
      </w:r>
      <w:r w:rsidR="004B56BD" w:rsidRPr="004B56BD">
        <w:rPr>
          <w:rFonts w:ascii="Times New Roman" w:hAnsi="Times New Roman" w:cs="Times New Roman"/>
          <w:sz w:val="24"/>
        </w:rPr>
        <w:t xml:space="preserve">limiting their adoption in medical practice </w:t>
      </w:r>
      <w:r w:rsidR="00F764F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{"citationItems":[{"id":"ITEM-1","itemData":{"DOI":"10.1109/JPROC.2021.3060483","ISSN":"15582256","abstract":"With the broader and highly successful usage of machine learning (ML) in industry and the sciences, there has been a growing demand for explainable artificial intelligence (XAI). Interpretability and explanation methods for gaining a better understanding of the problem-solving abilities and strategies of nonlinear ML, in particular, deep neural networks, are, therefore, receiving increased attention. In this work, we aim to: 1) provide a timely overview of this active emerging field, with a focus on 'post hoc' explanations, and explain its theoretical foundations; 2) put interpretability algorithms to a test both from a theory and comparative evaluation perspective using extensive simulations; 3) outline best practice aspects, i.e., how to best include interpretation methods into the standard usage of ML; and 4) demonstrate successful usage of XAI in a representative selection of application scenarios. Finally, we discuss challenges and possible future directions of this exciting foundational field of ML.","author":[{"dropping-particle":"","family":"Samek","given":"Wojciech","non-dropping-particle":"","parse-names":false,"suffix":""},{"dropping-particle":"","family":"Montavon","given":"Grégoire","non-dropping-particle":"","parse-names":false,"suffix":""},{"dropping-particle":"","family":"Lapuschkin","given":"Sebastian","non-dropping-particle":"","parse-names":false,"suffix":""},{"dropping-particle":"","family":"Anders","given":"Christopher J.","non-dropping-particle":"","parse-names":false,"suffix":""},{"dropping-particle":"","family":"Müller","given":"Klaus Robert","non-dropping-particle":"","parse-names":false,"suffix":""}],"container-title":"Proceedings of the IEEE","id":"ITEM-1","issue":"3","issued":{"date-parts":[["2021","3","1"]]},"page":"247-278","publisher":"Institute of Electrical and Electronics Engineers Inc.","title":"Explaining Deep Neural Networks and Beyond: A Review of Methods and Applications","type":"article-journal","volume":"109"},"uris":["http://www.mendeley.com/documents/?uuid=6aec0f67-c44c-34d5-a723-ee21df1d0b3c"]}],"mendeley":{"formattedCitation":"(Samek et al., 2021)","plainTextFormattedCitation":"(Samek et al., 2021)","previouslyFormattedCitation":"(Samek et al., 2021)"},"properties":{"noteIndex":0},"schema":"https://github.com/citation-style-language/schema/raw/master/csl-citation.json"}</w:instrText>
      </w:r>
      <w:r w:rsidR="00F764FC">
        <w:rPr>
          <w:rFonts w:ascii="Times New Roman" w:hAnsi="Times New Roman" w:cs="Times New Roman"/>
          <w:sz w:val="24"/>
        </w:rPr>
        <w:fldChar w:fldCharType="separate"/>
      </w:r>
      <w:r w:rsidR="005A46D7" w:rsidRPr="005A46D7">
        <w:rPr>
          <w:rFonts w:ascii="Times New Roman" w:hAnsi="Times New Roman" w:cs="Times New Roman"/>
          <w:noProof/>
          <w:sz w:val="24"/>
        </w:rPr>
        <w:t>(Samek et al., 2021)</w:t>
      </w:r>
      <w:r w:rsidR="00F764FC">
        <w:rPr>
          <w:rFonts w:ascii="Times New Roman" w:hAnsi="Times New Roman" w:cs="Times New Roman"/>
          <w:sz w:val="24"/>
        </w:rPr>
        <w:fldChar w:fldCharType="end"/>
      </w:r>
      <w:r w:rsidR="004B56BD" w:rsidRPr="004B56BD">
        <w:rPr>
          <w:rFonts w:ascii="Times New Roman" w:hAnsi="Times New Roman" w:cs="Times New Roman"/>
          <w:sz w:val="24"/>
        </w:rPr>
        <w:t>.</w:t>
      </w:r>
    </w:p>
    <w:p w:rsidR="003C3F45" w:rsidRPr="003C3F45" w:rsidRDefault="003C3F45" w:rsidP="008E4717">
      <w:pPr>
        <w:pStyle w:val="HTMLPreformatted"/>
        <w:spacing w:line="360" w:lineRule="auto"/>
        <w:jc w:val="both"/>
        <w:rPr>
          <w:rFonts w:ascii="Times New Roman" w:hAnsi="Times New Roman" w:cs="Times New Roman"/>
          <w:sz w:val="24"/>
        </w:rPr>
      </w:pPr>
      <w:r w:rsidRPr="003C3F45">
        <w:rPr>
          <w:rStyle w:val="token"/>
          <w:rFonts w:ascii="Times New Roman" w:eastAsiaTheme="majorEastAsia" w:hAnsi="Times New Roman" w:cs="Times New Roman"/>
          <w:b/>
          <w:sz w:val="24"/>
        </w:rPr>
        <w:t>Methods:</w:t>
      </w:r>
      <w:r>
        <w:rPr>
          <w:rStyle w:val="token"/>
          <w:rFonts w:ascii="Times New Roman" w:eastAsiaTheme="majorEastAsia" w:hAnsi="Times New Roman" w:cs="Times New Roman"/>
          <w:b/>
          <w:sz w:val="24"/>
        </w:rPr>
        <w:t xml:space="preserve"> </w:t>
      </w:r>
      <w:r w:rsidRPr="003C3F45">
        <w:rPr>
          <w:rFonts w:ascii="Times New Roman" w:hAnsi="Times New Roman" w:cs="Times New Roman"/>
          <w:sz w:val="24"/>
        </w:rPr>
        <w:t>We developed an explainable deep learning model using a DenseNet121 architecture with ImageNet transfer learning</w:t>
      </w:r>
      <w:r w:rsidR="004B56BD">
        <w:rPr>
          <w:rFonts w:ascii="Times New Roman" w:hAnsi="Times New Roman" w:cs="Times New Roman"/>
          <w:sz w:val="24"/>
        </w:rPr>
        <w:t xml:space="preserve"> </w:t>
      </w:r>
      <w:r w:rsidR="00E31763">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 lutional Network (DenseNet), which connects each layer to every other layer in a feed-forward fashion. Whereas traditional convolutional networks with L layers have L connections—one between each layer and its subsequent layer—our network has L(L+1) direct connections. For 2 each layer, the feature-maps of all preceding layers are used as inputs, and its own feature-maps are used as inputs into all subsequent layers. DenseNets have several com- pelling advantages: they alleviate the vanishing-gradient problem, strengthen feature propagation, encourage fea- ture reuse, and substantially reduce the number ofparame- ters. We evaluate our proposed architecture on four highly competitive object recognition benchmark tasks (CIFAR-10, CIFAR-100, SVHN, and ImageNet). DenseNets obtain sig- nificant improvements over the state-of-the-art on most of them, whilst requiring less computation to achieve high per- formance. Code and pre-trained models are available at https://github.com/liuzhuang13/DenseNet.","author":[{"dropping-particle":"","family":"Huang","given":"Gao","non-dropping-particle":"","parse-names":false,"suffix":""},{"dropping-particle":"Van Der","family":"Maaten","given":"Laurens","non-dropping-particle":"","parse-names":false,"suffix":""},{"dropping-particle":"","family":"Weinberger","given":"Kilian Q","non-dropping-particle":"","parse-names":false,"suffix":""}],"container-title":"Proceedings of the IEEE Conference on Computer Vision and Pattern Recognition (CVPR), 2017, pp.","id":"ITEM-1","issue":"3","issued":{"date-parts":[["2017"]]},"page":"4700-4708","title":"Densely Connected Convolutional Networks","type":"article-journal","volume":"109"},"uris":["http://www.mendeley.com/documents/?uuid=44a79a86-0a79-44a7-8028-bd29e2a07e0c"]}],"mendeley":{"formattedCitation":"(G. Huang et al., 2017)","plainTextFormattedCitation":"(G. Huang et al., 2017)","previouslyFormattedCitation":"(G. Huang et al., 2017)"},"properties":{"noteIndex":0},"schema":"https://github.com/citation-style-language/schema/raw/master/csl-citation.json"}</w:instrText>
      </w:r>
      <w:r w:rsidR="00E31763">
        <w:rPr>
          <w:rFonts w:ascii="Times New Roman" w:hAnsi="Times New Roman" w:cs="Times New Roman"/>
          <w:sz w:val="24"/>
        </w:rPr>
        <w:fldChar w:fldCharType="separate"/>
      </w:r>
      <w:r w:rsidR="005A46D7" w:rsidRPr="005A46D7">
        <w:rPr>
          <w:rFonts w:ascii="Times New Roman" w:hAnsi="Times New Roman" w:cs="Times New Roman"/>
          <w:noProof/>
          <w:sz w:val="24"/>
        </w:rPr>
        <w:t>(G. Huang et al., 2017)</w:t>
      </w:r>
      <w:r w:rsidR="00E31763">
        <w:rPr>
          <w:rFonts w:ascii="Times New Roman" w:hAnsi="Times New Roman" w:cs="Times New Roman"/>
          <w:sz w:val="24"/>
        </w:rPr>
        <w:fldChar w:fldCharType="end"/>
      </w:r>
      <w:r w:rsidRPr="003C3F45">
        <w:rPr>
          <w:rFonts w:ascii="Times New Roman" w:hAnsi="Times New Roman" w:cs="Times New Roman"/>
          <w:sz w:val="24"/>
        </w:rPr>
        <w:t xml:space="preserve"> The model was trained on 1000 chest X-rays (500 edema, 500 normal) with 80/20 train-test split. Data augmentation included rotation, shifting, zooming, and flipping. Grad-CAM generated attention maps to visualize model decision-making</w:t>
      </w:r>
      <w:r w:rsidR="004B56BD">
        <w:rPr>
          <w:rFonts w:ascii="Times New Roman" w:hAnsi="Times New Roman" w:cs="Times New Roman"/>
          <w:sz w:val="24"/>
        </w:rPr>
        <w:t xml:space="preserve"> </w:t>
      </w:r>
      <w:r w:rsidR="00900907">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{"citationItems":[{"id":"ITEM-1","itemData":{"abstract":"We propose a technique for producing 'visual explana-tions' for decisions from a large class of Convolutional Neu-ral Network (CNN)-based models, making them more transparent. Our approach-Gradient-weighted Class Activation Mapping (Grad-CAM), uses the gradients of any target concept (say logits for 'dog' or even a caption), flowing into the final convolutional layer to produce a coarse localiza-tion map highlighting the important regions in the image for predicting the concept. Unlike previous approaches, Grad-CAM is applicable to a wide variety of CNN model-families: (1) CNNs with fully-connected layers (e.g. VGG), (2) CNNs used for structured outputs (e.g. captioning), (3) CNNs used in tasks with multi-modal inputs (e.g. visual question answering) or reinforcement learning, without architectural changes or retraining. We combine Grad-CAM with existing fine-grained visualizations to create a high-resolution class-discriminative visualization, Guided Grad-CAM, and apply it to image classification, image captioning, and visual question answering (VQA) models, including ResNet-based architectures. In the context of image classification models , our visualizations (a) lend insights into failure modes of these models (showing that seemingly unreasonable predictions have reasonable explanations), (b) outperform previous methods on the ILSVRC-15 weakly-supervised local-ization task, (c) are more faithful to the underlying model, and (d) help achieve model generalization by identifying dataset bias. For image captioning and VQA, our visual-izations show even non-attention based models can localize inputs. Finally, we design and conduct human studies to measure if Grad-CAM explanations help users establish appropriate trust in predictions from deep networks and show that Grad-CAM helps untrained users successfully discern a 'stronger' deep network from a 'weaker' one even when both make identical predictions. Our code is available at https: //github.com/ramprs/grad-cam/ along with a demo on CloudCV [2] 1 and video at youtu.be/COjUB9Izk6E. * Work done at Virginia Tech. 1","author":[{"dropping-particle":"","family":"Selvaraju","given":"Ramprasaath R.","non-dropping-particle":"","parse-names":false,"suffix":""},{"dropping-particle":"","family":"Cogswell","given":"Michael","non-dropping-particle":"","parse-names":false,"suffix":""},{"dropping-particle":"","family":"Das","given":"Abhishek","non-dropping-particle":"","parse-names":false,"suffix":""},{"dropping-particle":"","family":"Vedantam","given":"Ramakrishna","non-dropping-particle":"","parse-names":false,"suffix":""},{"dropping-particle":"","family":"Parikh","given":"Devi","non-dropping-particle":"","parse-names":false,"suffix":""},{"dropping-particle":"","family":"Batra","given":"Dhruv","non-dropping-particle":"","parse-names":false,"suffix":""}],"id":"ITEM-1","issued":{"date-parts":[["2017"]]},"page":"618-626","title":"Grad-CAM: Visual Explanations From Deep Networks via Gradient-Based Localization","type":"article"},"uris":["http://www.mendeley.com/documents/?uuid=e88dee39-6396-34b2-8c2c-fec9efbd16b9"]}],"mendeley":{"formattedCitation":"(Selvaraju et al., 2017)","plainTextFormattedCitation":"(Selvaraju et al., 2017)","previouslyFormattedCitation":"(Selvaraju et al., 2017)"},"properties":{"noteIndex":0},"schema":"https://github.com/citation-style-language/schema/raw/master/csl-citation.json"}</w:instrText>
      </w:r>
      <w:r w:rsidR="00900907">
        <w:rPr>
          <w:rFonts w:ascii="Times New Roman" w:hAnsi="Times New Roman" w:cs="Times New Roman"/>
          <w:sz w:val="24"/>
        </w:rPr>
        <w:fldChar w:fldCharType="separate"/>
      </w:r>
      <w:r w:rsidR="005A46D7" w:rsidRPr="005A46D7">
        <w:rPr>
          <w:rFonts w:ascii="Times New Roman" w:hAnsi="Times New Roman" w:cs="Times New Roman"/>
          <w:noProof/>
          <w:sz w:val="24"/>
        </w:rPr>
        <w:t>(Selvaraju et al., 2017)</w:t>
      </w:r>
      <w:r w:rsidR="00900907">
        <w:rPr>
          <w:rFonts w:ascii="Times New Roman" w:hAnsi="Times New Roman" w:cs="Times New Roman"/>
          <w:sz w:val="24"/>
        </w:rPr>
        <w:fldChar w:fldCharType="end"/>
      </w:r>
      <w:r w:rsidRPr="003C3F45">
        <w:rPr>
          <w:rFonts w:ascii="Times New Roman" w:hAnsi="Times New Roman" w:cs="Times New Roman"/>
          <w:sz w:val="24"/>
        </w:rPr>
        <w:t>.</w:t>
      </w:r>
    </w:p>
    <w:p w:rsidR="00106EA0" w:rsidRPr="00106EA0" w:rsidRDefault="00106EA0" w:rsidP="008E4717">
      <w:pPr>
        <w:pStyle w:val="HTMLPreformatted"/>
        <w:spacing w:line="360" w:lineRule="auto"/>
        <w:jc w:val="both"/>
        <w:rPr>
          <w:rFonts w:ascii="Times New Roman" w:hAnsi="Times New Roman" w:cs="Times New Roman"/>
          <w:sz w:val="24"/>
        </w:rPr>
      </w:pPr>
      <w:r w:rsidRPr="00106EA0">
        <w:rPr>
          <w:rStyle w:val="token"/>
          <w:rFonts w:ascii="Times New Roman" w:eastAsiaTheme="majorEastAsia" w:hAnsi="Times New Roman" w:cs="Times New Roman"/>
          <w:b/>
        </w:rPr>
        <w:t>Results:</w:t>
      </w:r>
      <w:r>
        <w:rPr>
          <w:rStyle w:val="token"/>
          <w:rFonts w:ascii="Times New Roman" w:eastAsiaTheme="majorEastAsia" w:hAnsi="Times New Roman" w:cs="Times New Roman"/>
          <w:b/>
        </w:rPr>
        <w:t xml:space="preserve"> </w:t>
      </w:r>
      <w:r w:rsidRPr="00106EA0">
        <w:rPr>
          <w:rFonts w:ascii="Times New Roman" w:hAnsi="Times New Roman" w:cs="Times New Roman"/>
          <w:sz w:val="24"/>
        </w:rPr>
        <w:t xml:space="preserve">The model achieved excellent performance with an </w:t>
      </w:r>
      <w:r w:rsidR="004B56BD" w:rsidRPr="004B56BD">
        <w:rPr>
          <w:rFonts w:ascii="Times New Roman" w:hAnsi="Times New Roman" w:cs="Times New Roman"/>
          <w:sz w:val="24"/>
        </w:rPr>
        <w:t>Area Under the Receiver Operating Characteristic Curve</w:t>
      </w:r>
      <w:r w:rsidR="008E4717">
        <w:rPr>
          <w:rFonts w:ascii="Times New Roman" w:hAnsi="Times New Roman" w:cs="Times New Roman"/>
          <w:sz w:val="24"/>
        </w:rPr>
        <w:t xml:space="preserve"> </w:t>
      </w:r>
      <w:r w:rsidR="004B56BD">
        <w:rPr>
          <w:rFonts w:ascii="Times New Roman" w:hAnsi="Times New Roman" w:cs="Times New Roman"/>
          <w:sz w:val="24"/>
        </w:rPr>
        <w:t>(</w:t>
      </w:r>
      <w:r w:rsidRPr="00106EA0">
        <w:rPr>
          <w:rFonts w:ascii="Times New Roman" w:hAnsi="Times New Roman" w:cs="Times New Roman"/>
          <w:sz w:val="24"/>
        </w:rPr>
        <w:t>AUC-ROC</w:t>
      </w:r>
      <w:r w:rsidR="004B56BD">
        <w:rPr>
          <w:rFonts w:ascii="Times New Roman" w:hAnsi="Times New Roman" w:cs="Times New Roman"/>
          <w:sz w:val="24"/>
        </w:rPr>
        <w:t>)</w:t>
      </w:r>
      <w:r w:rsidRPr="00106EA0">
        <w:rPr>
          <w:rFonts w:ascii="Times New Roman" w:hAnsi="Times New Roman" w:cs="Times New Roman"/>
          <w:sz w:val="24"/>
        </w:rPr>
        <w:t xml:space="preserve"> of 0.917 (95% CI: 0.89-0.94), </w:t>
      </w:r>
      <w:r w:rsidR="004B56BD">
        <w:rPr>
          <w:rFonts w:ascii="Times New Roman" w:hAnsi="Times New Roman" w:cs="Times New Roman"/>
          <w:sz w:val="24"/>
        </w:rPr>
        <w:t xml:space="preserve">overall </w:t>
      </w:r>
      <w:r w:rsidRPr="00106EA0">
        <w:rPr>
          <w:rFonts w:ascii="Times New Roman" w:hAnsi="Times New Roman" w:cs="Times New Roman"/>
          <w:sz w:val="24"/>
        </w:rPr>
        <w:t xml:space="preserve">accuracy of 85%, sensitivity of 82%, and specificity of 88%. Training </w:t>
      </w:r>
      <w:r w:rsidRPr="00106EA0">
        <w:rPr>
          <w:rFonts w:ascii="Times New Roman" w:hAnsi="Times New Roman" w:cs="Times New Roman"/>
          <w:sz w:val="24"/>
        </w:rPr>
        <w:t>curves demonstrated stable convergence without overfitting. Grad-CAM attention maps revealed that the model focused on perihilar and interstitial lung regions in edema cases, consistent with radiological findings</w:t>
      </w:r>
      <w:r w:rsidR="004B56BD">
        <w:rPr>
          <w:rFonts w:ascii="Times New Roman" w:hAnsi="Times New Roman" w:cs="Times New Roman"/>
          <w:sz w:val="24"/>
        </w:rPr>
        <w:t xml:space="preserve"> </w:t>
      </w:r>
      <w:r w:rsidR="004B56BD" w:rsidRPr="004B56BD">
        <w:rPr>
          <w:rFonts w:ascii="Times New Roman" w:hAnsi="Times New Roman" w:cs="Times New Roman"/>
          <w:sz w:val="24"/>
        </w:rPr>
        <w:t xml:space="preserve">of pulmonary edema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{"citationItems":[{"id":"ITEM-1","itemData":{"DOI":"10.2214/AJR.144.5.879","ISBN":"196.43.77.188","ISSN":"0361803X","PMID":"3872571","abstract":"Improvement in the ability to determine the specific cause of any given case of pulmonary edema would lead to more rapid and definitive treatment. \"Wedge\" pressures and measurements of cardiac outp...","author":[{"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container-title":"https://www.ajronline.org/","id":"ITEM-1","issue":"5","issued":{"date-parts":[["2012","11","23"]]},"page":"879-894","publisher":"American Roentgen Ray Society","title":"The radiologic distinction of cardiogenic and noncardiogenic edema","type":"article-journal","volume":"144"},"uris":["http://www.mendeley.com/documents/?uuid=e2ea7f9f-d5dd-338f-8cb4-83f38dd7cc54"]}],"mendeley":{"formattedCitation":"(Milne et al., 2012)","plainTextFormattedCitation":"(Milne et al., 2012)","previouslyFormattedCitation":"(Milne et al., 2012)"},"properties":{"noteIndex":0},"schema":"https://github.com/citation-style-language/schema/raw/master/csl-citation.json"}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(Milne et al., 2012)</w:t>
      </w:r>
      <w:r w:rsidR="00DA0216">
        <w:rPr>
          <w:rFonts w:ascii="Times New Roman" w:hAnsi="Times New Roman" w:cs="Times New Roman"/>
          <w:sz w:val="24"/>
        </w:rPr>
        <w:fldChar w:fldCharType="end"/>
      </w:r>
      <w:r w:rsidRPr="00106EA0">
        <w:rPr>
          <w:rFonts w:ascii="Times New Roman" w:hAnsi="Times New Roman" w:cs="Times New Roman"/>
          <w:sz w:val="24"/>
        </w:rPr>
        <w:t>.</w:t>
      </w:r>
    </w:p>
    <w:p w:rsidR="00106EA0" w:rsidRDefault="00106EA0" w:rsidP="008E4717">
      <w:pPr>
        <w:pStyle w:val="HTMLPreformatted"/>
        <w:spacing w:line="360" w:lineRule="auto"/>
        <w:jc w:val="both"/>
        <w:rPr>
          <w:rFonts w:ascii="Times New Roman" w:hAnsi="Times New Roman" w:cs="Times New Roman"/>
          <w:sz w:val="24"/>
        </w:rPr>
      </w:pPr>
      <w:r w:rsidRPr="00106EA0">
        <w:rPr>
          <w:rStyle w:val="token"/>
          <w:rFonts w:ascii="Times New Roman" w:eastAsiaTheme="majorEastAsia" w:hAnsi="Times New Roman" w:cs="Times New Roman"/>
          <w:b/>
          <w:sz w:val="24"/>
        </w:rPr>
        <w:t>Conclusion:</w:t>
      </w:r>
      <w:r>
        <w:rPr>
          <w:rStyle w:val="token"/>
          <w:rFonts w:ascii="Times New Roman" w:eastAsiaTheme="majorEastAsia" w:hAnsi="Times New Roman" w:cs="Times New Roman"/>
          <w:b/>
          <w:sz w:val="24"/>
        </w:rPr>
        <w:t xml:space="preserve"> </w:t>
      </w:r>
      <w:r w:rsidRPr="00106EA0">
        <w:rPr>
          <w:rFonts w:ascii="Times New Roman" w:hAnsi="Times New Roman" w:cs="Times New Roman"/>
          <w:sz w:val="24"/>
        </w:rPr>
        <w:t>Our explainable AI model demonstrates high accuracy for pulmonary edema detection while providing clinically interpretable visualizations. This approach may enhance radiologist confidence and facilitate AI integration into clinical practice</w:t>
      </w:r>
      <w:r w:rsidR="00770BFF">
        <w:rPr>
          <w:rFonts w:ascii="Times New Roman" w:hAnsi="Times New Roman" w:cs="Times New Roman"/>
          <w:sz w:val="24"/>
        </w:rPr>
        <w:t xml:space="preserve">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{"citationItems":[{"id":"ITEM-1","itemData":{"DOI":"10.1016/J.MEDIA.2022.102470","ISSN":"1361-8415","PMID":"35576821","abstract":"With an increase in deep learning-based methods, the call for explainability of such methods grows, especially in high-stakes decision making areas such as medical image analysis. This survey presents an overview of explainable artificial intelligence (XAI) used in deep learning-based medical image analysis. A framework of XAI criteria is introduced to classify deep learning-based medical image analysis methods. Papers on XAI techniques in medical image analysis are then surveyed and categorized according to the framework and according to anatomical location. The paper concludes with an outlook of future opportunities for XAI in medical image analysis.","author":[{"dropping-particle":"","family":"Velden","given":"Bas H.M.","non-dropping-particle":"van der","parse-names":false,"suffix":""},{"dropping-particle":"","family":"Kuijf","given":"Hugo J.","non-dropping-particle":"","parse-names":false,"suffix":""},{"dropping-particle":"","family":"Gilhuijs","given":"Kenneth G.A.","non-dropping-particle":"","parse-names":false,"suffix":""},{"dropping-particle":"","family":"Viergever","given":"Max A.","non-dropping-particle":"","parse-names":false,"suffix":""}],"container-title":"Medical Image Analysis","id":"ITEM-1","issued":{"date-parts":[["2022","7","1"]]},"page":"102470","publisher":"Elsevier","title":"Explainable artificial intelligence (XAI) in deep learning-based medical image analysis","type":"article-journal","volume":"79"},"uris":["http://www.mendeley.com/documents/?uuid=4a68a878-e2b1-3a0b-9d5d-08bc60968fb5"]}],"mendeley":{"formattedCitation":"(van der Velden et al., 2022)","plainTextFormattedCitation":"(van der Velden et al., 2022)","previouslyFormattedCitation":"(van der Velden et al., 2022)"},"properties":{"noteIndex":0},"schema":"https://github.com/citation-style-language/schema/raw/master/csl-citation.json"}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(van der Velden et al., 2022)</w:t>
      </w:r>
      <w:r w:rsidR="00DA0216">
        <w:rPr>
          <w:rFonts w:ascii="Times New Roman" w:hAnsi="Times New Roman" w:cs="Times New Roman"/>
          <w:sz w:val="24"/>
        </w:rPr>
        <w:fldChar w:fldCharType="end"/>
      </w:r>
      <w:r w:rsidRPr="00106EA0">
        <w:rPr>
          <w:rFonts w:ascii="Times New Roman" w:hAnsi="Times New Roman" w:cs="Times New Roman"/>
          <w:sz w:val="24"/>
        </w:rPr>
        <w:t>.</w:t>
      </w:r>
    </w:p>
    <w:p w:rsidR="00106EA0" w:rsidRDefault="00106EA0" w:rsidP="00BF1173">
      <w:pPr>
        <w:pStyle w:val="HTMLPreformatted"/>
        <w:spacing w:line="360" w:lineRule="auto"/>
        <w:rPr>
          <w:rFonts w:ascii="Times New Roman" w:hAnsi="Times New Roman" w:cs="Times New Roman"/>
          <w:sz w:val="24"/>
        </w:rPr>
      </w:pPr>
      <w:r w:rsidRPr="00106EA0">
        <w:rPr>
          <w:rStyle w:val="token"/>
          <w:rFonts w:ascii="Times New Roman" w:eastAsiaTheme="majorEastAsia" w:hAnsi="Times New Roman" w:cs="Times New Roman"/>
          <w:b/>
          <w:sz w:val="24"/>
        </w:rPr>
        <w:t>Keywords:</w:t>
      </w:r>
      <w:r>
        <w:rPr>
          <w:rStyle w:val="token"/>
          <w:rFonts w:ascii="Times New Roman" w:eastAsiaTheme="majorEastAsia" w:hAnsi="Times New Roman" w:cs="Times New Roman"/>
          <w:b/>
          <w:sz w:val="24"/>
        </w:rPr>
        <w:t xml:space="preserve"> </w:t>
      </w:r>
      <w:r w:rsidRPr="00106EA0">
        <w:rPr>
          <w:rFonts w:ascii="Times New Roman" w:hAnsi="Times New Roman" w:cs="Times New Roman"/>
          <w:sz w:val="24"/>
        </w:rPr>
        <w:t>Pulmonary edema; Chest X-ray; Deep learning; DenseNet121; Grad-CAM; Explainable AI</w:t>
      </w:r>
    </w:p>
    <w:p w:rsidR="00106EA0" w:rsidRPr="00193695" w:rsidRDefault="00C13908" w:rsidP="00193695">
      <w:pPr>
        <w:pStyle w:val="Heading1"/>
        <w:rPr>
          <w:rStyle w:val="Strong"/>
          <w:b/>
          <w:bCs w:val="0"/>
        </w:rPr>
      </w:pPr>
      <w:r>
        <w:rPr>
          <w:rStyle w:val="Strong"/>
          <w:b/>
          <w:bCs w:val="0"/>
        </w:rPr>
        <w:t xml:space="preserve">1. </w:t>
      </w:r>
      <w:r w:rsidR="00106EA0" w:rsidRPr="00193695">
        <w:rPr>
          <w:rStyle w:val="Strong"/>
          <w:b/>
          <w:bCs w:val="0"/>
        </w:rPr>
        <w:t>INTRODUCTION</w:t>
      </w:r>
    </w:p>
    <w:p w:rsidR="006A1187" w:rsidRPr="006A1187" w:rsidRDefault="006A1187" w:rsidP="008E4717">
      <w:pPr>
        <w:pStyle w:val="HTMLPreformatted"/>
        <w:spacing w:line="360" w:lineRule="auto"/>
        <w:jc w:val="both"/>
        <w:rPr>
          <w:rFonts w:ascii="Times New Roman" w:hAnsi="Times New Roman" w:cs="Times New Roman"/>
          <w:sz w:val="24"/>
        </w:rPr>
      </w:pPr>
      <w:r w:rsidRPr="006A1187">
        <w:rPr>
          <w:rFonts w:ascii="Times New Roman" w:hAnsi="Times New Roman" w:cs="Times New Roman"/>
          <w:sz w:val="24"/>
        </w:rPr>
        <w:t xml:space="preserve">Pulmonary edema, the accumulation of fluid in the lung tissue and air spaces, is a common and potentially life-threatening condition that requires rapid diagnosis and intervention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{"citationItems":[{"id":"ITEM-1","itemData":{"DOI":"10.1056/NEJMCP052699","ISSN":"0028-4793","abstract":"A 62-year-old man presents with a three-day history of progressive dyspnea, nonproductive cough, and low-grade fever. His blood pressure is 100/60 mm Hg, his heart rate 110 beats per minute, his te...","author":[{"dropping-particle":"","family":"Ware","given":"Lorraine B.","non-dropping-particle":"","parse-names":false,"suffix":""},{"dropping-particle":"","family":"Matthay","given":"Michael A.","non-dropping-particle":"","parse-names":false,"suffix":""}],"container-title":"New England Journal of Medicine","id":"ITEM-1","issue":"26","issued":{"date-parts":[["2005","12","29"]]},"page":"2788-2796","publisher":"Massachusetts Medical Society","title":"Acute Pulmonary Edema","type":"article-journal","volume":"353"},"uris":["http://www.mendeley.com/documents/?uuid=a154ccaa-a6c0-3245-a36d-2040279e5fc3"]}],"mendeley":{"formattedCitation":"(Ware &amp; Matthay, 2005)","plainTextFormattedCitation":"(Ware &amp; Matthay, 2005)","previouslyFormattedCitation":"(Ware &amp; Matthay, 2005)"},"properties":{"noteIndex":0},"schema":"https://github.com/citation-style-language/schema/raw/master/csl-citation.json"}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(Ware &amp; Matthay, 2005)</w:t>
      </w:r>
      <w:r w:rsidR="00DA0216">
        <w:rPr>
          <w:rFonts w:ascii="Times New Roman" w:hAnsi="Times New Roman" w:cs="Times New Roman"/>
          <w:sz w:val="24"/>
        </w:rPr>
        <w:fldChar w:fldCharType="end"/>
      </w:r>
      <w:r w:rsidRPr="006A1187">
        <w:rPr>
          <w:rFonts w:ascii="Times New Roman" w:hAnsi="Times New Roman" w:cs="Times New Roman"/>
          <w:sz w:val="24"/>
        </w:rPr>
        <w:t xml:space="preserve">. Chest radiography remains the primary </w:t>
      </w:r>
      <w:r w:rsidRPr="006A1187">
        <w:rPr>
          <w:rFonts w:ascii="Times New Roman" w:hAnsi="Times New Roman" w:cs="Times New Roman"/>
          <w:sz w:val="24"/>
        </w:rPr>
        <w:lastRenderedPageBreak/>
        <w:t xml:space="preserve">imaging </w:t>
      </w:r>
      <w:r w:rsidR="008E4717">
        <w:rPr>
          <w:rFonts w:ascii="Times New Roman" w:hAnsi="Times New Roman" w:cs="Times New Roman"/>
          <w:sz w:val="24"/>
        </w:rPr>
        <w:t xml:space="preserve">modality for initial </w:t>
      </w:r>
      <w:r w:rsidRPr="006A1187">
        <w:rPr>
          <w:rFonts w:ascii="Times New Roman" w:hAnsi="Times New Roman" w:cs="Times New Roman"/>
          <w:sz w:val="24"/>
        </w:rPr>
        <w:t xml:space="preserve">assessment due to its wide availability, low cost, and rapid acquisition time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{"citationItems":[{"id":"ITEM-1","itemData":{"DOI":"10.1148/RADIOL.2462070712/ASSET/IMAGES/R08FE34G71X.JPEG","ISSN":"00338419","PMID":"18195376","abstract":"Members of the Fleischner Society compiled a glossary of terms for thoracic imaging that replaces previous glossaries published in 1984 and 1996 for thoracic radiography and computed tomography (CT), respectively. The need to update the previous versions came from the recognition that new words have emerged, others have become obsolete, and the meaning of some terms has changed. Brief descriptions of some diseases are included, and pictorial examples (chest radiographs and CT scans) are provided for the majority of terms. © RSNA, 2008.","author":[{"dropping-particle":"","family":"Hansell","given":"David M.","non-dropping-particle":"","parse-names":false,"suffix":""},{"dropping-particle":"","family":"Bankier","given":"Alexander A.","non-dropping-particle":"","parse-names":false,"suffix":""},{"dropping-particle":"","family":"MacMahon","given":"Heber","non-dropping-particle":"","parse-names":false,"suffix":""},{"dropping-particle":"","family":"McLoud","given":"Theresa C.","non-dropping-particle":"","parse-names":false,"suffix":""},{"dropping-particle":"","family":"Müller","given":"Nestor L.","non-dropping-particle":"","parse-names":false,"suffix":""},{"dropping-particle":"","family":"Remy","given":"Jacques","non-dropping-particle":"","parse-names":false,"suffix":""}],"container-title":"Radiology","id":"ITEM-1","issue":"3","issued":{"date-parts":[["2008","3","1"]]},"page":"697-722","publisher":"Radiological Society of North America","title":"Fleischner Society: Glossary of terms for thoracic imaging","type":"article-journal","volume":"246"},"uris":["http://www.mendeley.com/documents/?uuid=bfd57ac8-87a5-3521-a8f1-a224ec75ece9"]}],"mendeley":{"formattedCitation":"(Hansell et al., 2008)","plainTextFormattedCitation":"(Hansell et al., 2008)","previouslyFormattedCitation":"(Hansell et al., 2008)"},"properties":{"noteIndex":0},"schema":"https://github.com/citation-style-language/schema/raw/master/csl-citation.json"}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(Hansell et al., 2008)</w:t>
      </w:r>
      <w:r w:rsidR="00DA0216">
        <w:rPr>
          <w:rFonts w:ascii="Times New Roman" w:hAnsi="Times New Roman" w:cs="Times New Roman"/>
          <w:sz w:val="24"/>
        </w:rPr>
        <w:fldChar w:fldCharType="end"/>
      </w:r>
      <w:r w:rsidRPr="006A1187">
        <w:rPr>
          <w:rFonts w:ascii="Times New Roman" w:hAnsi="Times New Roman" w:cs="Times New Roman"/>
          <w:sz w:val="24"/>
        </w:rPr>
        <w:t>. However, interpretation of chest X-rays for pulmonary edema can be challenging, particularly in early stages or when other cardiopu</w:t>
      </w:r>
      <w:r>
        <w:rPr>
          <w:rFonts w:ascii="Times New Roman" w:hAnsi="Times New Roman" w:cs="Times New Roman"/>
          <w:sz w:val="24"/>
        </w:rPr>
        <w:t xml:space="preserve">lmonary conditions coexist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{"citationItems":[{"id":"ITEM-1","itemData":{"DOI":"10.2214/AJR.144.5.879","ISBN":"196.43.77.188","ISSN":"0361803X","PMID":"3872571","abstract":"Improvement in the ability to determine the specific cause of any given case of pulmonary edema would lead to more rapid and definitive treatment. \"Wedge\" pressures and measurements of cardiac outp...","author":[{"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container-title":"https://www.ajronline.org/","id":"ITEM-1","issue":"5","issued":{"date-parts":[["2012","11","23"]]},"page":"879-894","publisher":"American Roentgen Ray Society","title":"The radiologic distinction of cardiogenic and noncardiogenic edema","type":"article-journal","volume":"144"},"uris":["http://www.mendeley.com/documents/?uuid=e2ea7f9f-d5dd-338f-8cb4-83f38dd7cc54"]}],"mendeley":{"formattedCitation":"(Milne et al., 2012)","plainTextFormattedCitation":"(Milne et al., 2012)","previouslyFormattedCitation":"(Milne et al., 2012)"},"properties":{"noteIndex":0},"schema":"https://github.com/citation-style-language/schema/raw/master/csl-citation.json"}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(Milne et al., 2012)</w:t>
      </w:r>
      <w:r w:rsidR="00DA0216">
        <w:rPr>
          <w:rFonts w:ascii="Times New Roman" w:hAnsi="Times New Roman" w:cs="Times New Roman"/>
          <w:sz w:val="24"/>
        </w:rPr>
        <w:fldChar w:fldCharType="end"/>
      </w:r>
      <w:r>
        <w:rPr>
          <w:rFonts w:ascii="Times New Roman" w:hAnsi="Times New Roman" w:cs="Times New Roman"/>
          <w:sz w:val="24"/>
        </w:rPr>
        <w:t>.</w:t>
      </w:r>
      <w:r w:rsidR="008E4717">
        <w:rPr>
          <w:rFonts w:ascii="Times New Roman" w:hAnsi="Times New Roman" w:cs="Times New Roman"/>
          <w:sz w:val="24"/>
        </w:rPr>
        <w:t xml:space="preserve"> </w:t>
      </w:r>
      <w:r w:rsidRPr="006A1187">
        <w:rPr>
          <w:rFonts w:ascii="Times New Roman" w:hAnsi="Times New Roman" w:cs="Times New Roman"/>
          <w:sz w:val="24"/>
        </w:rPr>
        <w:t xml:space="preserve">Recent advances in deep learning have shown promise for medical image analysis, including chest X-ray interpretation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{"citationItems":[{"id":"ITEM-1","itemData":{"DOI":"10.1016/J.MEDIA.2017.07.005","ISSN":"1361-8415","PMID":"28778026","abstract":"Deep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author":[{"dropping-particle":"","family":"Litjens","given":"Geert","non-dropping-particle":"","parse-names":false,"suffix":""},{"dropping-particle":"","family":"Kooi","given":"Thijs","non-dropping-particle":"","parse-names":false,"suffix":""},{"dropping-particle":"","family":"Bejnordi","given":"Babak Ehteshami","non-dropping-particle":"","parse-names":false,"suffix":""},{"dropping-particle":"","family":"Setio","given":"Arnaud Arindra Adiyoso","non-dropping-particle":"","parse-names":false,"suffix":""},{"dropping-particle":"","family":"Ciompi","given":"Francesco","non-dropping-particle":"","parse-names":false,"suffix":""},{"dropping-particle":"","family":"Ghafoorian","given":"Mohsen","non-dropping-particle":"","parse-names":false,"suffix":""},{"dropping-particle":"","family":"Laak","given":"Jeroen A.W.M.","non-dropping-particle":"van der","parse-names":false,"suffix":""},{"dropping-particle":"","family":"Ginneken","given":"Bram","non-dropping-particle":"van","parse-names":false,"suffix":""},{"dropping-particle":"","family":"Sánchez","given":"Clara I.","non-dropping-particle":"","parse-names":false,"suffix":""}],"container-title":"Medical Image Analysis","id":"ITEM-1","issued":{"date-parts":[["2017","12","1"]]},"page":"60-88","publisher":"Elsevier","title":"A survey on deep learning in medical image analysis","type":"article-journal","volume":"42"},"uris":["http://www.mendeley.com/documents/?uuid=d64fea6a-65ba-3f60-b8bc-f90580523c3b"]},{"id":"ITEM-2","itemData":{"DOI":"10.1038/s41591-018-0316-z","ISSN":"1546-170X","PMID":"30617335","abstract":"Here we present deep-learning techniques for healthcare, centering our discussion on deep learning in computer vision, natural language processing, reinforcement learning, and generalized methods. We describe how these computational techniques can impact a few key areas of medicine and explore how to build end-to-end systems. Our discussion of computer vision focuses largely on medical imaging, and we describe the application of natural language processing to domains such as electronic health record data. Similarly, reinforcement learning is discussed in the context of robotic-assisted surgery, and generalized deep-learning methods for genomics are reviewed. A primer for deep-learning techniques for healthcare, centering on deep learning in computer vision, natural language processing, reinforcement learning, and generalized methods.","author":[{"dropping-particle":"","family":"Esteva","given":"Andre","non-dropping-particle":"","parse-names":false,"suffix":""},{"dropping-particle":"","family":"Robicquet","given":"Alexandre","non-dropping-particle":"","parse-names":false,"suffix":""},{"dropping-particle":"","family":"Ramsundar","given":"Bharath","non-dropping-particle":"","parse-names":false,"suffix":""},{"dropping-particle":"","family":"Kuleshov","given":"Volodymyr","non-dropping-particle":"","parse-names":false,"suffix":""},{"dropping-particle":"","family":"DePristo","given":"Mark","non-dropping-particle":"","parse-names":false,"suffix":""},{"dropping-particle":"","family":"Chou","given":"Katherine","non-dropping-particle":"","parse-names":false,"suffix":""},{"dropping-particle":"","family":"Cui","given":"Claire","non-dropping-particle":"","parse-names":false,"suffix":""},{"dropping-particle":"","family":"Corrado","given":"Greg","non-dropping-particle":"","parse-names":false,"suffix":""},{"dropping-particle":"","family":"Thrun","given":"Sebastian","non-dropping-particle":"","parse-names":false,"suffix":""},{"dropping-particle":"","family":"Dean","given":"Jeff","non-dropping-particle":"","parse-names":false,"suffix":""}],"container-title":"Nature Medicine 2019 25:1","id":"ITEM-2","issue":"1","issued":{"date-parts":[["2019","1","7"]]},"page":"24-29","publisher":"Nature Publishing Group","title":"A guide to deep learning in healthcare","type":"article-journal","volume":"25"},"uris":["http://www.mendeley.com/documents/?uuid=c79cfa70-1e60-3f2a-a05e-10cce4e19c5f"]}],"mendeley":{"formattedCitation":"(Esteva et al., 2019; Litjens et al., 2017)","plainTextFormattedCitation":"(Esteva et al., 2019; Litjens et al., 2017)","previouslyFormattedCitation":"(Esteva et al., 2019; Litjens et al., 2017)"},"properties":{"noteIndex":0},"schema":"https://github.com/citation-style-language/schema/raw/master/csl-citation.json"}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(Esteva et al., 2019; Litjens et al., 2017)</w:t>
      </w:r>
      <w:r w:rsidR="00DA0216">
        <w:rPr>
          <w:rFonts w:ascii="Times New Roman" w:hAnsi="Times New Roman" w:cs="Times New Roman"/>
          <w:sz w:val="24"/>
        </w:rPr>
        <w:fldChar w:fldCharType="end"/>
      </w:r>
      <w:r w:rsidRPr="006A1187">
        <w:rPr>
          <w:rFonts w:ascii="Times New Roman" w:hAnsi="Times New Roman" w:cs="Times New Roman"/>
          <w:sz w:val="24"/>
        </w:rPr>
        <w:t xml:space="preserve">. Convolutional neural networks (CNNs) have demonstrated performance comparable to radiologists </w:t>
      </w:r>
      <w:r w:rsidR="008E4717">
        <w:rPr>
          <w:rFonts w:ascii="Times New Roman" w:hAnsi="Times New Roman" w:cs="Times New Roman"/>
          <w:sz w:val="24"/>
        </w:rPr>
        <w:t xml:space="preserve">for </w:t>
      </w:r>
      <w:r w:rsidRPr="006A1187">
        <w:rPr>
          <w:rFonts w:ascii="Times New Roman" w:hAnsi="Times New Roman" w:cs="Times New Roman"/>
          <w:sz w:val="24"/>
        </w:rPr>
        <w:t xml:space="preserve">various thoracic abnormalities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{"citationItems":[{"id":"ITEM-1","itemData":{"DOI":"10.1371/JOURNAL.PMED.1002686","ISBN":"1111111111","ISSN":"1549-1676","PMID":"30457988","abstract":"Background Chest radiograph interpretation is critical for the detection of thoracic diseases, including tuberculosis and lung cancer, which affect millions of people worldwide each year. This time-consuming task typically requires expert radiologists to read the images, leading to fatigue-based diagnostic error and lack of diagnostic expertise in areas of the world where radiologists are not available. Recently, deep learning approaches have been able to achieve expert-level performance in medical image interpretation tasks, powered by large network architectures and fueled by the emergence of large labeled datasets. The purpose of this study is to investigate the performance of a deep learning algorithm on the detection of pathologies in chest radiographs compared with practicing radiologists.   Methods and findings We developed CheXNeXt, a convolutional neural network to concurrently detect the presence of 14 different pathologies, including pneumonia, pleural effusion, pulmonary masses, and nodules in frontal-view chest radiographs. CheXNeXt was trained and internally validated on the ChestX-ray8 dataset, with a held-out validation set consisting of 420 images, sampled to contain at least 50 cases of each of the original pathology labels. On this validation set, the majority vote of a panel of 3 board-certified cardiothoracic specialist radiologists served as reference standard. We compared CheXNeXt’s discriminative performance on the validation set to the performance of 9 radiologists using the area under the receiver operating characteristic curve (AUC). The radiologists included 6 board-certified radiologists (average experience 12 years, range 4–28 years) and 3 senior radiology residents, from 3 academic institutions. We found that CheXNeXt achieved radiologist-level performance on 11 pathologies and did not achieve radiologist-level performance on 3 pathologies. The radiologists achieved statistically significantly higher AUC performance on cardiomegaly, emphysema, and hiatal hernia, with AUCs of 0.888 (95% confidence interval [CI] 0.863–0.910), 0.911 (95% CI 0.866–0.947), and 0.985 (95% CI 0.974–0.991), respectively, whereas CheXNeXt’s AUCs were 0.831 (95% CI 0.790–0.870), 0.704 (95% CI 0.567–0.833), and 0.851 (95% CI 0.785–0.909), respectively. CheXNeXt performed better than radiologists in detecting atelectasis, with an AUC of 0.862 (95% CI 0.825–0.895), statistically significantly higher than radiologists' AUC of 0.808 (95% CI 0.777–0.838);…","author":[{"dropping-particle":"","family":"Rajpurkar","given":"Pranav","non-dropping-particle":"","parse-names":false,"suffix":""},{"dropping-particle":"","family":"Irvin","given":"Jeremy","non-dropping-particle":"","parse-names":false,"suffix":""},{"dropping-particle":"","family":"Ball","given":"Robyn L.","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Langlotz","given":"Curtis P.","non-dropping-particle":"","parse-names":false,"suffix":""},{"dropping-particle":"","family":"Patel","given":"Bhavik N.","non-dropping-particle":"","parse-names":false,"suffix":""},{"dropping-particle":"","family":"Yeom","given":"Kristen W.","non-dropping-particle":"","parse-names":false,"suffix":""},{"dropping-particle":"","family":"Shpanskaya","given":"Katie","non-dropping-particle":"","parse-names":false,"suffix":""},{"dropping-particle":"","family":"Blankenberg","given":"Francis G.","non-dropping-particle":"","parse-names":false,"suffix":""},{"dropping-particle":"","family":"Seekins","given":"Jayne","non-dropping-particle":"","parse-names":false,"suffix":""},{"dropping-particle":"","family":"Amrhein","given":"Timothy J.","non-dropping-particle":"","parse-names":false,"suffix":""},{"dropping-particle":"","family":"Mong","given":"David A.","non-dropping-particle":"","parse-names":false,"suffix":""},{"dropping-particle":"","family":"Halabi","given":"Safwan S.","non-dropping-particle":"","parse-names":false,"suffix":""},{"dropping-particle":"","family":"Zucker","given":"Evan J.","non-dropping-particle":"","parse-names":false,"suffix":""},{"dropping-particle":"","family":"Ng","given":"Andrew Y.","non-dropping-particle":"","parse-names":false,"suffix":""},{"dropping-particle":"","family":"Lungren","given":"Matthew P.","non-dropping-particle":"","parse-names":false,"suffix":""}],"container-title":"PLOS Medicine","id":"ITEM-1","issue":"11","issued":{"date-parts":[["2018","11","1"]]},"page":"e1002686","publisher":"Public Library of Science","title":"Deep learning for chest radiograph diagnosis: A retrospective comparison of the CheXNeXt algorithm to practicing radiologists","type":"article-journal","volume":"15"},"uris":["http://www.mendeley.com/documents/?uuid=18dbb737-44d4-3f84-83e0-34a7af9a29f0"]}],"mendeley":{"formattedCitation":"(Rajpurkar et al., 2018)","plainTextFormattedCitation":"(Rajpurkar et al., 2018)","previouslyFormattedCitation":"(Rajpurkar et al., 2018)"},"properties":{"noteIndex":0},"schema":"https://github.com/citation-style-language/schema/raw/master/csl-citation.json"}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(Rajpurkar et al., 2018)</w:t>
      </w:r>
      <w:r w:rsidR="00DA0216">
        <w:rPr>
          <w:rFonts w:ascii="Times New Roman" w:hAnsi="Times New Roman" w:cs="Times New Roman"/>
          <w:sz w:val="24"/>
        </w:rPr>
        <w:fldChar w:fldCharType="end"/>
      </w:r>
      <w:r w:rsidRPr="006A1187">
        <w:rPr>
          <w:rFonts w:ascii="Times New Roman" w:hAnsi="Times New Roman" w:cs="Times New Roman"/>
          <w:sz w:val="24"/>
        </w:rPr>
        <w:t xml:space="preserve">. However, the "black box" nature of these models limits clinical adoption, as physicians require understanding of why a model makes specific predictions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{"citationItems":[{"id":"ITEM-1","itemData":{"abstract":"With the availability of large databases and recent improvements in deep learning methodology, the performance of AI systems is reaching or even exceeding the human level on an increasing number of complex tasks. Impressive examples of this development can be found in domains such as image classification, sentiment analysis, speech understanding or strategic game playing. However, because of their nested non-linear structure, these highly successful machine learning and artificial intelligence models are usually applied in a black box manner, i.e., no information is provided about what exactly makes them arrive at their predictions. Since this lack of transparency can be a major drawback, e.g., in medical applications, the development of methods for visualizing , explaining and interpreting deep learning models has recently attracted increasing attention. This paper summarizes recent developments in this field and makes a plea for more interpretability in artificial intelligence. Furthermore, it presents two approaches to explaining predictions of deep learning models, one method which computes the sensitivity of the prediction with respect to changes in the input and one approach which meaningfully decomposes the decision in terms of the input variables. These methods are evaluated on three classification tasks. Index Terms-Artificial intelligence, deep neural networks, black box models, interpretability, sensitivity analysis, layer-wise relevance propagation","author":[{"dropping-particle":"","family":"Samek","given":"Wojciech","non-dropping-particle":"","parse-names":false,"suffix":""},{"dropping-particle":"","family":"Wiegand","given":"Thomas","non-dropping-particle":"","parse-names":false,"suffix":""},{"dropping-particle":"","family":"Müller","given":"Klaus-Robert","non-dropping-particle":"","parse-names":false,"suffix":""}],"id":"ITEM-1","issued":{"date-parts":[["0"]]},"title":"EXPLAINABLE ARTIFICIAL INTELLIGENCE: UNDERSTANDING, VISUALIZING AND INTERPRETING DEEP LEARNING MODELS","type":"article-journal"},"uris":["http://www.mendeley.com/documents/?uuid=820ddf30-99e9-3fdb-a7ea-74c8f6931e74"]}],"mendeley":{"formattedCitation":"(Samek et al., n.d.)","manualFormatting":"(Samek et al., 2017)","plainTextFormattedCitation":"(Samek et al., n.d.)","previouslyFormattedCitation":"(Samek et al., n.d.)"},"properties":{"noteIndex":0},"schema":"https://github.com/citation-style-language/schema/raw/master/csl-citation.json"}</w:instrText>
      </w:r>
      <w:r w:rsidR="00DA0216">
        <w:rPr>
          <w:rFonts w:ascii="Times New Roman" w:hAnsi="Times New Roman" w:cs="Times New Roman"/>
          <w:sz w:val="24"/>
        </w:rPr>
        <w:fldChar w:fldCharType="separate"/>
      </w:r>
      <w:r w:rsidR="00DA0216">
        <w:rPr>
          <w:rFonts w:ascii="Times New Roman" w:hAnsi="Times New Roman" w:cs="Times New Roman"/>
          <w:noProof/>
          <w:sz w:val="24"/>
        </w:rPr>
        <w:t>(Samek et al., 2017</w:t>
      </w:r>
      <w:r w:rsidR="00DA0216" w:rsidRPr="00DA0216">
        <w:rPr>
          <w:rFonts w:ascii="Times New Roman" w:hAnsi="Times New Roman" w:cs="Times New Roman"/>
          <w:noProof/>
          <w:sz w:val="24"/>
        </w:rPr>
        <w:t>)</w:t>
      </w:r>
      <w:r w:rsidR="00DA0216">
        <w:rPr>
          <w:rFonts w:ascii="Times New Roman" w:hAnsi="Times New Roman" w:cs="Times New Roman"/>
          <w:sz w:val="24"/>
        </w:rPr>
        <w:fldChar w:fldCharType="end"/>
      </w:r>
      <w:r w:rsidRPr="006A1187">
        <w:rPr>
          <w:rFonts w:ascii="Times New Roman" w:hAnsi="Times New Roman" w:cs="Times New Roman"/>
          <w:sz w:val="24"/>
        </w:rPr>
        <w:t>.</w:t>
      </w:r>
    </w:p>
    <w:p w:rsidR="00883401" w:rsidRDefault="006A1187" w:rsidP="008E4717">
      <w:pPr>
        <w:pStyle w:val="HTMLPreformatted"/>
        <w:spacing w:line="360" w:lineRule="auto"/>
        <w:jc w:val="both"/>
        <w:rPr>
          <w:rFonts w:ascii="Times New Roman" w:hAnsi="Times New Roman" w:cs="Times New Roman"/>
          <w:sz w:val="24"/>
        </w:rPr>
      </w:pPr>
      <w:r w:rsidRPr="006A1187">
        <w:rPr>
          <w:rFonts w:ascii="Times New Roman" w:hAnsi="Times New Roman" w:cs="Times New Roman"/>
          <w:sz w:val="24"/>
        </w:rPr>
        <w:t xml:space="preserve">Explainable AI (XAI) techniques, such as Gradient-weighted Class Activation Mapping (Grad-CAM), address this limitation by generating visual attention maps that highlight image regions influencing model decisions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{"citationItems":[{"id":"ITEM-1","itemData":{"DOI":"10.1007/S11263-019-01228-7/FIGURES/21","ISSN":"15731405","abstract":"We propose a technique for producing ‘visual explanations’ for decisions from a large class of Convolutional Neural Network (CNN)-based models, making them more transparent and explainable. Our approach—Gradient-weighted Class Activation Mapping (Grad-CAM), uses the gradients of any target concept (say ‘dog’ in a classification network or a sequence of words in captioning network) flowing into the final convolutional layer to produce a coarse localization map highlighting the important regions in the image for predicting the concept. Unlike previous approaches, Grad-CAM is applicable to a wide variety of CNN model-families: (1) CNNs with fully-connected layers (e.g.VGG), (2) CNNs used for structured outputs (e.g.captioning), (3) CNNs used in tasks with multi-modal inputs (e.g.visual question answering) or reinforcement learning, all without architectural changes or re-training. We combine Grad-CAM with existing fine-grained visualizations to create a high-resolution class-discriminative visualization, Guided Grad-CAM, and apply it to image classification, image captioning, and visual question answering (VQA) models, including ResNet-based architectures. In the context of image classification models, our visualizations (a) lend insights into failure modes of these models (showing that seemingly unreasonable predictions have reasonable explanations), (b) outperform previous methods on the ILSVRC-15 weakly-supervised localization task, (c) are robust to adversarial perturbations, (d) are more faithful to the underlying model, and (e) help achieve model generalization by identifying dataset bias. For image captioning and VQA, our visualizations show that even non-attention based models learn to localize discriminative regions of input image. We devise a way to identify important neurons through Grad-CAM and combine it with neuron names (Bau et al. in Computer vision and pattern recognition, 2017) to provide textual explanations for model decisions. Finally, we design and conduct human studies to measure if Grad-CAM explanations help users establish appropriate trust in predictions from deep networks and show that Grad-CAM helps untrained users successfully discern a ‘stronger’ deep network from a ‘weaker’ one even when both make identical predictions. Our code is available at https://github.com/ramprs/grad-cam/, along with a demo on CloudCV (Agrawal et al., in: Mobile cloud visual media computing, pp 265–290. Springer, 2015) (http://gradcam.cloudcv.org) and…","author":[{"dropping-particle":"","family":"Selvaraju","given":"Ramprasaath R.","non-dropping-particle":"","parse-names":false,"suffix":""},{"dropping-particle":"","family":"Cogswell","given":"Michael","non-dropping-particle":"","parse-names":false,"suffix":""},{"dropping-particle":"","family":"Das","given":"Abhishek","non-dropping-particle":"","parse-names":false,"suffix":""},{"dropping-particle":"","family":"Vedantam","given":"Ramakrishna","non-dropping-particle":"","parse-names":false,"suffix":""},{"dropping-particle":"","family":"Parikh","given":"Devi","non-dropping-particle":"","parse-names":false,"suffix":""},{"dropping-particle":"","family":"Batra","given":"Dhruv","non-dropping-particle":"","parse-names":false,"suffix":""}],"container-title":"International Journal of Computer Vision","id":"ITEM-1","issue":"2","issued":{"date-parts":[["2020","2","1"]]},"page":"336-359","publisher":"Springer","title":"Grad-CAM: Visual Explanations from Deep Networks via Gradient-Based Localization","type":"article-journal","volume":"128"},"uris":["http://www.mendeley.com/documents/?uuid=5af1885e-465e-3d71-9d40-5b71ed87cafb"]}],"mendeley":{"formattedCitation":"(Selvaraju et al., 2020)","plainTextFormattedCitation":"(Selvaraju et al., 2020)","previouslyFormattedCitation":"(Selvaraju et al., 2020)"},"properties":{"noteIndex":0},"schema":"https://github.com/citation-style-language/schema/raw/master/csl-citation.json"}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(Selvaraju et al., 2020)</w:t>
      </w:r>
      <w:r w:rsidR="00DA0216">
        <w:rPr>
          <w:rFonts w:ascii="Times New Roman" w:hAnsi="Times New Roman" w:cs="Times New Roman"/>
          <w:sz w:val="24"/>
        </w:rPr>
        <w:fldChar w:fldCharType="end"/>
      </w:r>
      <w:r w:rsidRPr="006A1187">
        <w:rPr>
          <w:rFonts w:ascii="Times New Roman" w:hAnsi="Times New Roman" w:cs="Times New Roman"/>
          <w:sz w:val="24"/>
        </w:rPr>
        <w:t>. These techniques have been successfully applied to various medical imaging tasks, enhancing clinical inte</w:t>
      </w:r>
      <w:r>
        <w:rPr>
          <w:rFonts w:ascii="Times New Roman" w:hAnsi="Times New Roman" w:cs="Times New Roman"/>
          <w:sz w:val="24"/>
        </w:rPr>
        <w:t xml:space="preserve">rpretability and trust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{"citationItems":[{"id":"ITEM-1","itemData":{"DOI":"10.1016/J.MEDIA.2022.102470","ISSN":"1361-8415","PMID":"35576821","abstract":"With an increase in deep learning-based methods, the call for explainability of such methods grows, especially in high-stakes decision making areas such as medical image analysis. This survey presents an overview of explainable artificial intelligence (XAI) used in deep learning-based medical image analysis. A framework of XAI criteria is introduced to classify deep learning-based medical image analysis methods. Papers on XAI techniques in medical image analysis are then surveyed and categorized according to the framework and according to anatomical location. The paper concludes with an outlook of future opportunities for XAI in medical image analysis.","author":[{"dropping-particle":"","family":"Velden","given":"Bas H.M.","non-dropping-particle":"van der","parse-names":false,"suffix":""},{"dropping-particle":"","family":"Kuijf","given":"Hugo J.","non-dropping-particle":"","parse-names":false,"suffix":""},{"dropping-particle":"","family":"Gilhuijs","given":"Kenneth G.A.","non-dropping-particle":"","parse-names":false,"suffix":""},{"dropping-particle":"","family":"Viergever","given":"Max A.","non-dropping-particle":"","parse-names":false,"suffix":""}],"container-title":"Medical Image Analysis","id":"ITEM-1","issued":{"date-parts":[["2022","7","1"]]},"page":"102470","publisher":"Elsevier","title":"Explainable artificial intelligence (XAI) in deep learning-based medical image analysis","type":"article-journal","volume":"79"},"uris":["http://www.mendeley.com/documents/?uuid=4a68a878-e2b1-3a0b-9d5d-08bc60968fb5"]},{"id":"ITEM-2","itemData":{"DOI":"10.3390/JIMAGING6060052","ISSN":"2313433X","abstract":"Deep learning methods have been very effective for a variety of medical diagnostic tasks and have even outperformed human experts on some of those. However, the black-box nature of the algorithms has restricted their clinical use. Recent explainability studies aim to show the features that influence the decision of a model the most. The majority of literature reviews of this area have focused on taxonomy, ethics, and the need for explanations. A review of the current applications of explainable deep learning for different medical imaging tasks is presented here. The various approaches, challenges for clinical deployment, and the areas requiring further research are discussed here from a practical standpoint of a deep learning researcher designing a system for the clinical end-users.","author":[{"dropping-particle":"","family":"Singh","given":"Amitojdeep","non-dropping-particle":"","parse-names":false,"suffix":""},{"dropping-particle":"","family":"Sengupta","given":"Sourya","non-dropping-particle":"","parse-names":false,"suffix":""},{"dropping-particle":"","family":"Lakshminarayanan","given":"Vasudevan","non-dropping-particle":"","parse-names":false,"suffix":""}],"container-title":"Journal of Imaging","id":"ITEM-2","issue":"6","issued":{"date-parts":[["2020","6","20"]]},"page":"52","publisher":"MDPI AG","title":"Explainable deep learning models in medical image analysis","type":"article","volume":"6"},"uris":["http://www.mendeley.com/documents/?uuid=f0dfb458-0b79-3014-ac39-e4752b300be1"]}],"mendeley":{"formattedCitation":"(Singh et al., 2020; van der Velden et al., 2022)","plainTextFormattedCitation":"(Singh et al., 2020; van der Velden et al., 2022)","previouslyFormattedCitation":"(Singh et al., 2020; van der Velden et al., 2022)"},"properties":{"noteIndex":0},"schema":"https://github.com/citation-style-language/schema/raw/master/csl-citation.json"}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(Singh et al., 2020; van der Velden et al., 2022)</w:t>
      </w:r>
      <w:r w:rsidR="00DA0216">
        <w:rPr>
          <w:rFonts w:ascii="Times New Roman" w:hAnsi="Times New Roman" w:cs="Times New Roman"/>
          <w:sz w:val="24"/>
        </w:rPr>
        <w:fldChar w:fldCharType="end"/>
      </w:r>
      <w:r>
        <w:rPr>
          <w:rFonts w:ascii="Times New Roman" w:hAnsi="Times New Roman" w:cs="Times New Roman"/>
          <w:sz w:val="24"/>
        </w:rPr>
        <w:t>.</w:t>
      </w:r>
      <w:r w:rsidR="00883401">
        <w:rPr>
          <w:rFonts w:ascii="Times New Roman" w:hAnsi="Times New Roman" w:cs="Times New Roman"/>
          <w:sz w:val="24"/>
        </w:rPr>
        <w:t xml:space="preserve"> </w:t>
      </w:r>
    </w:p>
    <w:p w:rsidR="006A1187" w:rsidRDefault="006A1187" w:rsidP="008E4717">
      <w:pPr>
        <w:pStyle w:val="HTMLPreformatted"/>
        <w:spacing w:line="360" w:lineRule="auto"/>
        <w:jc w:val="both"/>
        <w:rPr>
          <w:rFonts w:ascii="Times New Roman" w:hAnsi="Times New Roman" w:cs="Times New Roman"/>
          <w:sz w:val="24"/>
        </w:rPr>
      </w:pPr>
      <w:r w:rsidRPr="006A1187">
        <w:rPr>
          <w:rFonts w:ascii="Times New Roman" w:hAnsi="Times New Roman" w:cs="Times New Roman"/>
          <w:sz w:val="24"/>
        </w:rPr>
        <w:t xml:space="preserve">In this study, we developed an explainable deep learning model for pulmonary edema detection using a DenseNet121 architecture </w:t>
      </w:r>
      <w:r w:rsidRPr="006A1187">
        <w:rPr>
          <w:rFonts w:ascii="Times New Roman" w:hAnsi="Times New Roman" w:cs="Times New Roman"/>
          <w:sz w:val="24"/>
        </w:rPr>
        <w:t xml:space="preserve">with Grad-CAM visualizations. Our objectives were to: </w:t>
      </w:r>
    </w:p>
    <w:p w:rsidR="006A1187" w:rsidRPr="00883401" w:rsidRDefault="00883401" w:rsidP="00BF1173">
      <w:pPr>
        <w:pStyle w:val="HTMLPreformatted"/>
        <w:numPr>
          <w:ilvl w:val="0"/>
          <w:numId w:val="9"/>
        </w:numPr>
        <w:spacing w:line="360" w:lineRule="auto"/>
        <w:rPr>
          <w:rFonts w:ascii="Times New Roman" w:hAnsi="Times New Roman" w:cs="Times New Roman"/>
          <w:sz w:val="24"/>
        </w:rPr>
      </w:pPr>
      <w:r>
        <w:rPr>
          <w:rFonts w:ascii="Times New Roman" w:hAnsi="Times New Roman" w:cs="Times New Roman"/>
          <w:sz w:val="24"/>
        </w:rPr>
        <w:t>D</w:t>
      </w:r>
      <w:r w:rsidR="006A1187" w:rsidRPr="006A1187">
        <w:rPr>
          <w:rFonts w:ascii="Times New Roman" w:hAnsi="Times New Roman" w:cs="Times New Roman"/>
          <w:sz w:val="24"/>
        </w:rPr>
        <w:t xml:space="preserve">evelop a high-performance </w:t>
      </w:r>
      <w:r w:rsidR="006A1187" w:rsidRPr="00883401">
        <w:rPr>
          <w:rFonts w:ascii="Times New Roman" w:hAnsi="Times New Roman" w:cs="Times New Roman"/>
          <w:sz w:val="24"/>
        </w:rPr>
        <w:t>classification model</w:t>
      </w:r>
      <w:r w:rsidRPr="00883401">
        <w:rPr>
          <w:rFonts w:ascii="Times New Roman" w:hAnsi="Times New Roman" w:cs="Times New Roman"/>
          <w:sz w:val="24"/>
        </w:rPr>
        <w:t xml:space="preserve"> for pulmonary edema detection.</w:t>
      </w:r>
      <w:r w:rsidR="006A1187" w:rsidRPr="00883401">
        <w:rPr>
          <w:rFonts w:ascii="Times New Roman" w:hAnsi="Times New Roman" w:cs="Times New Roman"/>
          <w:sz w:val="24"/>
        </w:rPr>
        <w:t xml:space="preserve"> </w:t>
      </w:r>
    </w:p>
    <w:p w:rsidR="006A1187" w:rsidRDefault="00883401" w:rsidP="00BF1173">
      <w:pPr>
        <w:pStyle w:val="HTMLPreformatted"/>
        <w:numPr>
          <w:ilvl w:val="0"/>
          <w:numId w:val="9"/>
        </w:numPr>
        <w:spacing w:line="360" w:lineRule="auto"/>
        <w:rPr>
          <w:rFonts w:ascii="Times New Roman" w:hAnsi="Times New Roman" w:cs="Times New Roman"/>
          <w:sz w:val="24"/>
        </w:rPr>
      </w:pPr>
      <w:r>
        <w:rPr>
          <w:rFonts w:ascii="Times New Roman" w:hAnsi="Times New Roman" w:cs="Times New Roman"/>
          <w:sz w:val="24"/>
        </w:rPr>
        <w:t>G</w:t>
      </w:r>
      <w:r w:rsidR="006A1187" w:rsidRPr="006A1187">
        <w:rPr>
          <w:rFonts w:ascii="Times New Roman" w:hAnsi="Times New Roman" w:cs="Times New Roman"/>
          <w:sz w:val="24"/>
        </w:rPr>
        <w:t>enerate clinically</w:t>
      </w:r>
      <w:r w:rsidR="006A1187">
        <w:rPr>
          <w:rFonts w:ascii="Times New Roman" w:hAnsi="Times New Roman" w:cs="Times New Roman"/>
          <w:sz w:val="24"/>
        </w:rPr>
        <w:t xml:space="preserve"> interpretable attention maps</w:t>
      </w:r>
      <w:r>
        <w:rPr>
          <w:rFonts w:ascii="Times New Roman" w:hAnsi="Times New Roman" w:cs="Times New Roman"/>
          <w:sz w:val="24"/>
        </w:rPr>
        <w:t xml:space="preserve"> using Grad-CAM</w:t>
      </w:r>
      <w:r w:rsidR="006A1187">
        <w:rPr>
          <w:rFonts w:ascii="Times New Roman" w:hAnsi="Times New Roman" w:cs="Times New Roman"/>
          <w:sz w:val="24"/>
        </w:rPr>
        <w:t xml:space="preserve">, </w:t>
      </w:r>
      <w:r w:rsidR="006A1187" w:rsidRPr="006A1187">
        <w:rPr>
          <w:rFonts w:ascii="Times New Roman" w:hAnsi="Times New Roman" w:cs="Times New Roman"/>
          <w:sz w:val="24"/>
        </w:rPr>
        <w:t xml:space="preserve">and </w:t>
      </w:r>
    </w:p>
    <w:p w:rsidR="006A1187" w:rsidRPr="006A1187" w:rsidRDefault="00883401" w:rsidP="00BF1173">
      <w:pPr>
        <w:pStyle w:val="HTMLPreformatted"/>
        <w:numPr>
          <w:ilvl w:val="0"/>
          <w:numId w:val="9"/>
        </w:numPr>
        <w:spacing w:line="360" w:lineRule="auto"/>
        <w:rPr>
          <w:rFonts w:ascii="Times New Roman" w:hAnsi="Times New Roman" w:cs="Times New Roman"/>
          <w:sz w:val="24"/>
        </w:rPr>
      </w:pPr>
      <w:r>
        <w:rPr>
          <w:rFonts w:ascii="Times New Roman" w:hAnsi="Times New Roman" w:cs="Times New Roman"/>
          <w:sz w:val="24"/>
        </w:rPr>
        <w:t>E</w:t>
      </w:r>
      <w:r w:rsidR="006A1187" w:rsidRPr="006A1187">
        <w:rPr>
          <w:rFonts w:ascii="Times New Roman" w:hAnsi="Times New Roman" w:cs="Times New Roman"/>
          <w:sz w:val="24"/>
        </w:rPr>
        <w:t>valuate model performance using standard medical imaging metrics.</w:t>
      </w:r>
    </w:p>
    <w:p w:rsidR="006A1187" w:rsidRPr="00193695" w:rsidRDefault="00C13908" w:rsidP="00193695">
      <w:pPr>
        <w:pStyle w:val="Heading1"/>
        <w:rPr>
          <w:rStyle w:val="Strong"/>
          <w:b/>
          <w:bCs w:val="0"/>
        </w:rPr>
      </w:pPr>
      <w:r>
        <w:rPr>
          <w:rStyle w:val="Strong"/>
          <w:b/>
          <w:bCs w:val="0"/>
        </w:rPr>
        <w:t xml:space="preserve">2. </w:t>
      </w:r>
      <w:r w:rsidR="006A1187" w:rsidRPr="00193695">
        <w:rPr>
          <w:rStyle w:val="Strong"/>
          <w:b/>
          <w:bCs w:val="0"/>
        </w:rPr>
        <w:t>MATERIALS AND METHODS</w:t>
      </w:r>
    </w:p>
    <w:p w:rsidR="008616B1" w:rsidRPr="00193695" w:rsidRDefault="008616B1" w:rsidP="008B6F3D">
      <w:pPr>
        <w:pStyle w:val="Heading2"/>
        <w:rPr>
          <w:rStyle w:val="token"/>
          <w:rFonts w:eastAsiaTheme="majorEastAsia"/>
          <w:szCs w:val="24"/>
        </w:rPr>
      </w:pPr>
      <w:r w:rsidRPr="00193695">
        <w:rPr>
          <w:rStyle w:val="token"/>
          <w:rFonts w:eastAsiaTheme="majorEastAsia"/>
          <w:szCs w:val="24"/>
        </w:rPr>
        <w:t>2.1 Dataset</w:t>
      </w:r>
    </w:p>
    <w:p w:rsidR="008616B1" w:rsidRDefault="001C5F83" w:rsidP="0095366C">
      <w:pPr>
        <w:pStyle w:val="HTMLPreformatted"/>
        <w:spacing w:line="360" w:lineRule="auto"/>
        <w:jc w:val="both"/>
        <w:rPr>
          <w:rFonts w:ascii="Times New Roman" w:hAnsi="Times New Roman" w:cs="Times New Roman"/>
          <w:sz w:val="24"/>
        </w:rPr>
      </w:pPr>
      <w:r>
        <w:rPr>
          <w:rFonts w:ascii="Times New Roman" w:hAnsi="Times New Roman" w:cs="Times New Roman"/>
          <w:sz w:val="24"/>
        </w:rPr>
        <w:t>We used a digital</w:t>
      </w:r>
      <w:r w:rsidR="008616B1" w:rsidRPr="008616B1">
        <w:rPr>
          <w:rFonts w:ascii="Times New Roman" w:hAnsi="Times New Roman" w:cs="Times New Roman"/>
          <w:sz w:val="24"/>
        </w:rPr>
        <w:t xml:space="preserve"> chest X-</w:t>
      </w:r>
      <w:r>
        <w:rPr>
          <w:rFonts w:ascii="Times New Roman" w:hAnsi="Times New Roman" w:cs="Times New Roman"/>
          <w:sz w:val="24"/>
        </w:rPr>
        <w:t>rays (CXRs)</w:t>
      </w:r>
      <w:r w:rsidR="008616B1" w:rsidRPr="008616B1">
        <w:rPr>
          <w:rFonts w:ascii="Times New Roman" w:hAnsi="Times New Roman" w:cs="Times New Roman"/>
          <w:sz w:val="24"/>
        </w:rPr>
        <w:t xml:space="preserve"> dataset from the</w:t>
      </w:r>
      <w:r>
        <w:rPr>
          <w:rFonts w:ascii="Times New Roman" w:hAnsi="Times New Roman" w:cs="Times New Roman"/>
          <w:sz w:val="24"/>
        </w:rPr>
        <w:t xml:space="preserve"> Department of Radiology at the Mbeya Regional Referral Hospital (MRRH) in Mbeya, Tanzania. For this study, a total of 1,000 frontal CXR images were selected, comprising pulmonary edema case</w:t>
      </w:r>
      <w:r w:rsidR="00383E56">
        <w:rPr>
          <w:rFonts w:ascii="Times New Roman" w:hAnsi="Times New Roman" w:cs="Times New Roman"/>
          <w:sz w:val="24"/>
        </w:rPr>
        <w:t>s (n = 500) and normal findings (n = 500).</w:t>
      </w:r>
      <w:r w:rsidRPr="001C5F83">
        <w:t xml:space="preserve"> </w:t>
      </w:r>
      <w:r w:rsidRPr="001C5F83">
        <w:rPr>
          <w:rFonts w:ascii="Times New Roman" w:hAnsi="Times New Roman" w:cs="Times New Roman"/>
          <w:sz w:val="24"/>
        </w:rPr>
        <w:t>The dataset includes frontal chest X-rays with resolution variations, which were standardized during preprocessing.</w:t>
      </w:r>
    </w:p>
    <w:p w:rsidR="008616B1" w:rsidRPr="00193695" w:rsidRDefault="008616B1" w:rsidP="008B6F3D">
      <w:pPr>
        <w:pStyle w:val="Heading2"/>
        <w:rPr>
          <w:rStyle w:val="token"/>
          <w:rFonts w:eastAsiaTheme="majorEastAsia"/>
        </w:rPr>
      </w:pPr>
      <w:r w:rsidRPr="00193695">
        <w:rPr>
          <w:rStyle w:val="token"/>
          <w:rFonts w:eastAsiaTheme="majorEastAsia"/>
        </w:rPr>
        <w:t>2.2 Data Preprocessing</w:t>
      </w:r>
    </w:p>
    <w:p w:rsidR="00682FDC" w:rsidRDefault="008616B1" w:rsidP="0095366C">
      <w:pPr>
        <w:pStyle w:val="HTMLPreformatted"/>
        <w:spacing w:line="360" w:lineRule="auto"/>
        <w:jc w:val="both"/>
        <w:rPr>
          <w:rFonts w:ascii="Times New Roman" w:hAnsi="Times New Roman" w:cs="Times New Roman"/>
          <w:sz w:val="24"/>
        </w:rPr>
      </w:pPr>
      <w:r w:rsidRPr="008616B1">
        <w:rPr>
          <w:rFonts w:ascii="Times New Roman" w:hAnsi="Times New Roman" w:cs="Times New Roman"/>
          <w:sz w:val="24"/>
        </w:rPr>
        <w:t xml:space="preserve">Images were resized to 224 × 224 pixels to match DenseNet121 input </w:t>
      </w:r>
      <w:r w:rsidR="00682FDC" w:rsidRPr="008616B1">
        <w:rPr>
          <w:rFonts w:ascii="Times New Roman" w:hAnsi="Times New Roman" w:cs="Times New Roman"/>
          <w:sz w:val="24"/>
        </w:rPr>
        <w:t>R</w:t>
      </w:r>
      <w:r w:rsidRPr="008616B1">
        <w:rPr>
          <w:rFonts w:ascii="Times New Roman" w:hAnsi="Times New Roman" w:cs="Times New Roman"/>
          <w:sz w:val="24"/>
        </w:rPr>
        <w:t>equirements</w:t>
      </w:r>
      <w:r w:rsidR="00682FDC">
        <w:rPr>
          <w:rFonts w:ascii="Times New Roman" w:hAnsi="Times New Roman" w:cs="Times New Roman"/>
          <w:sz w:val="24"/>
        </w:rPr>
        <w:t xml:space="preserve">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 lutional Network (DenseNet), which connects each layer to every other layer in a feed-forward fashion. Whereas traditional convolutional networks with L layers have L connections—one between each layer and its subsequent layer—our network has L(L+1) direct connections. For 2 each layer, the feature-maps of all preceding layers are used as inputs, and its own feature-maps are used as inputs into all subsequent layers. DenseNets have several com- pelling advantages: they alleviate the vanishing-gradient problem, strengthen feature propagation, encourage fea- ture reuse, and substantially reduce the number ofparame- ters. We evaluate our proposed architecture on four highly competitive object recognition benchmark tasks (CIFAR-10, CIFAR-100, SVHN, and ImageNet). DenseNets obtain sig- nificant improvements over the state-of-the-art on most of them, whilst requiring less computation to achieve high per- formance. Code and pre-trained models are available at https://github.com/liuzhuang13/DenseNet.","author":[{"dropping-particle":"","family":"Huang","given":"Gao","non-dropping-particle":"","parse-names":false,"suffix":""},{"dropping-particle":"Van Der","family":"Maaten","given":"Laurens","non-dropping-particle":"","parse-names":false,"suffix":""},{"dropping-particle":"","family":"Weinberger","given":"Kilian Q","non-dropping-particle":"","parse-names":false,"suffix":""}],"container-title":"Proceedings of the IEEE Conference on Computer Vision and Pattern Recognition (CVPR), 2017, pp.","id":"ITEM-1","issue":"3","issued":{"date-parts":[["2017"]]},"page":"4700-4708","title":"Densely Connected Convolutional Networks","type":"article-journal","volume":"109"},"uris":["http://www.mendeley.com/documents/?uuid=44a79a86-0a79-44a7-8028-bd29e2a07e0c"]}],"mendeley":{"formattedCitation":"(G. Huang et al., 2017)","plainTextFormattedCitation":"(G. Huang et al., 2017)","previouslyFormattedCitation":"(G. Huang et al., 2017)"},"properties":{"noteIndex":0},"schema":"https://github.com/citation-style-language/schema/raw/master/csl-citation.json"}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(G. Huang et al., 2017)</w:t>
      </w:r>
      <w:r w:rsidR="00DA0216">
        <w:rPr>
          <w:rFonts w:ascii="Times New Roman" w:hAnsi="Times New Roman" w:cs="Times New Roman"/>
          <w:sz w:val="24"/>
        </w:rPr>
        <w:fldChar w:fldCharType="end"/>
      </w:r>
      <w:r w:rsidRPr="008616B1">
        <w:rPr>
          <w:rFonts w:ascii="Times New Roman" w:hAnsi="Times New Roman" w:cs="Times New Roman"/>
          <w:sz w:val="24"/>
        </w:rPr>
        <w:t xml:space="preserve">. Pixel values were normalized to the range [0, 1] by dividing by 255. </w:t>
      </w:r>
      <w:r w:rsidR="0095366C">
        <w:rPr>
          <w:rFonts w:ascii="Times New Roman" w:hAnsi="Times New Roman" w:cs="Times New Roman"/>
          <w:sz w:val="24"/>
        </w:rPr>
        <w:t xml:space="preserve">Data </w:t>
      </w:r>
      <w:r w:rsidR="00682FDC" w:rsidRPr="00682FDC">
        <w:rPr>
          <w:rFonts w:ascii="Times New Roman" w:hAnsi="Times New Roman" w:cs="Times New Roman"/>
          <w:sz w:val="24"/>
        </w:rPr>
        <w:t xml:space="preserve">augmentation was applied during training only to improve model </w:t>
      </w:r>
      <w:r w:rsidR="00682FDC" w:rsidRPr="00682FDC">
        <w:rPr>
          <w:rFonts w:ascii="Times New Roman" w:hAnsi="Times New Roman" w:cs="Times New Roman"/>
          <w:sz w:val="24"/>
        </w:rPr>
        <w:lastRenderedPageBreak/>
        <w:t xml:space="preserve">generalization and reduce overfitting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{"citationItems":[{"id":"ITEM-1","itemData":{"DOI":"10.1186/S40537-019-0197-0/FIGURES/33","ISSN":"21961115","abstract":"Deep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data.","author":[{"dropping-particle":"","family":"Shorten","given":"Connor","non-dropping-particle":"","parse-names":false,"suffix":""},{"dropping-particle":"","family":"Khoshgoftaar","given":"Taghi M.","non-dropping-particle":"","parse-names":false,"suffix":""}],"container-title":"Journal of Big Data","id":"ITEM-1","issue":"1","issued":{"date-parts":[["2019","12","1"]]},"page":"60-","publisher":"SpringerOpen","title":"A survey on Image Data Augmentation for Deep Learning","type":"article-journal","volume":"6"},"uris":["http://www.mendeley.com/documents/?uuid=655f6ce9-6209-3150-acc2-e74742f571a8"]}],"mendeley":{"formattedCitation":"(Shorten &amp; Khoshgoftaar, 2019)","plainTextFormattedCitation":"(Shorten &amp; Khoshgoftaar, 2019)","previouslyFormattedCitation":"(Shorten &amp; Khoshgoftaar, 2019)"},"properties":{"noteIndex":0},"schema":"https://github.com/citation-style-language/schema/raw/master/csl-citation.json"}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(Shorten &amp; Khoshgoftaar, 2019)</w:t>
      </w:r>
      <w:r w:rsidR="00DA0216">
        <w:rPr>
          <w:rFonts w:ascii="Times New Roman" w:hAnsi="Times New Roman" w:cs="Times New Roman"/>
          <w:sz w:val="24"/>
        </w:rPr>
        <w:fldChar w:fldCharType="end"/>
      </w:r>
      <w:r w:rsidR="0095366C">
        <w:rPr>
          <w:rFonts w:ascii="Times New Roman" w:hAnsi="Times New Roman" w:cs="Times New Roman"/>
          <w:sz w:val="24"/>
        </w:rPr>
        <w:t xml:space="preserve">. </w:t>
      </w:r>
      <w:r w:rsidR="00682FDC" w:rsidRPr="00682FDC">
        <w:rPr>
          <w:rFonts w:ascii="Times New Roman" w:hAnsi="Times New Roman" w:cs="Times New Roman"/>
          <w:sz w:val="24"/>
        </w:rPr>
        <w:t>Augmentation techniques included random rota</w:t>
      </w:r>
      <w:r w:rsidR="0095366C">
        <w:rPr>
          <w:rFonts w:ascii="Times New Roman" w:hAnsi="Times New Roman" w:cs="Times New Roman"/>
          <w:sz w:val="24"/>
        </w:rPr>
        <w:t xml:space="preserve">tions (±15 degrees), width and </w:t>
      </w:r>
      <w:r w:rsidR="00682FDC" w:rsidRPr="00682FDC">
        <w:rPr>
          <w:rFonts w:ascii="Times New Roman" w:hAnsi="Times New Roman" w:cs="Times New Roman"/>
          <w:sz w:val="24"/>
        </w:rPr>
        <w:t>height shifts (±10%), zoom range (±10%), and horizontal flips.</w:t>
      </w:r>
    </w:p>
    <w:p w:rsidR="007A67CB" w:rsidRPr="007A67CB" w:rsidRDefault="007A67CB" w:rsidP="008B6F3D">
      <w:pPr>
        <w:pStyle w:val="Heading2"/>
        <w:rPr>
          <w:szCs w:val="20"/>
        </w:rPr>
      </w:pPr>
      <w:r>
        <w:t>2.3</w:t>
      </w:r>
      <w:r w:rsidRPr="007A67CB">
        <w:rPr>
          <w:szCs w:val="20"/>
        </w:rPr>
        <w:t xml:space="preserve"> </w:t>
      </w:r>
      <w:r w:rsidRPr="007A67CB">
        <w:t>Model Architecture</w:t>
      </w:r>
    </w:p>
    <w:p w:rsidR="008616B1" w:rsidRPr="008616B1" w:rsidRDefault="008616B1" w:rsidP="0095366C">
      <w:pPr>
        <w:pStyle w:val="HTMLPreformatted"/>
        <w:spacing w:line="360" w:lineRule="auto"/>
        <w:jc w:val="both"/>
        <w:rPr>
          <w:rFonts w:ascii="Times New Roman" w:hAnsi="Times New Roman" w:cs="Times New Roman"/>
          <w:sz w:val="24"/>
        </w:rPr>
      </w:pPr>
      <w:r w:rsidRPr="008616B1">
        <w:rPr>
          <w:rFonts w:ascii="Times New Roman" w:hAnsi="Times New Roman" w:cs="Times New Roman"/>
          <w:sz w:val="24"/>
        </w:rPr>
        <w:t>We employed a DenseNet121 architect</w:t>
      </w:r>
      <w:r w:rsidR="006F57EE">
        <w:rPr>
          <w:rFonts w:ascii="Times New Roman" w:hAnsi="Times New Roman" w:cs="Times New Roman"/>
          <w:sz w:val="24"/>
        </w:rPr>
        <w:t>ure pre-trained on ImageNet</w:t>
      </w:r>
      <w:r w:rsidRPr="008616B1">
        <w:rPr>
          <w:rFonts w:ascii="Times New Roman" w:hAnsi="Times New Roman" w:cs="Times New Roman"/>
          <w:sz w:val="24"/>
        </w:rPr>
        <w:t xml:space="preserve"> as the base model</w:t>
      </w:r>
      <w:r w:rsidR="006F57EE">
        <w:rPr>
          <w:rFonts w:ascii="Times New Roman" w:hAnsi="Times New Roman" w:cs="Times New Roman"/>
          <w:sz w:val="24"/>
        </w:rPr>
        <w:t xml:space="preserve">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 lutional Network (DenseNet), which connects each layer to every other layer in a feed-forward fashion. Whereas traditional convolutional networks with L layers have L connections—one between each layer and its subsequent layer—our network has L(L+1) direct connections. For 2 each layer, the feature-maps of all preceding layers are used as inputs, and its own feature-maps are used as inputs into all subsequent layers. DenseNets have several com- pelling advantages: they alleviate the vanishing-gradient problem, strengthen feature propagation, encourage fea- ture reuse, and substantially reduce the number ofparame- ters. We evaluate our proposed architecture on four highly competitive object recognition benchmark tasks (CIFAR-10, CIFAR-100, SVHN, and ImageNet). DenseNets obtain sig- nificant improvements over the state-of-the-art on most of them, whilst requiring less computation to achieve high per- formance. Code and pre-trained models are available at https://github.com/liuzhuang13/DenseNet.","author":[{"dropping-particle":"","family":"Huang","given":"Gao","non-dropping-particle":"","parse-names":false,"suffix":""},{"dropping-particle":"Van Der","family":"Maaten","given":"Laurens","non-dropping-particle":"","parse-names":false,"suffix":""},{"dropping-particle":"","family":"Weinberger","given":"Kilian Q","non-dropping-particle":"","parse-names":false,"suffix":""}],"container-title":"Proceedings of the IEEE Conference on Computer Vision and Pattern Recognition (CVPR), 2017, pp.","id":"ITEM-1","issue":"3","issued":{"date-parts":[["2017"]]},"page":"4700-4708","title":"Densely Connected Convolutional Networks","type":"article-journal","volume":"109"},"uris":["http://www.mendeley.com/documents/?uuid=44a79a86-0a79-44a7-8028-bd29e2a07e0c"]},{"id":"ITEM-2","itemData":{"DOI":"10.1109/CVPR.2009.5206848","ISBN":"9781424439911","abstract":"The explosion of image data on the Internet has the potential to foster more sophisticated and robust models and algorithms to index, retrieve, organize and interact with images and multimedia data. But exactly how such data can be harnessed and organized remains a critical problem. We introduce here a new database called “ImageNet”, a large-scale ontology of images built upon the backbone of the WordNet structure. ImageNet aims to populate the majority of the 80,000 synsets of WordNet with an average of 500-1000 clean and full resolution images. This will result in tens of millions of annotated images organized by the semantic hierarchy of WordNet. This paper offers a detailed analysis of ImageNet in its current state: 12 subtrees with 5247 synsets and 3.2 million images in total. We show that ImageNet is much larger in scale and diversity and much more accurate than the current image datasets. Constructing such a large-scale database is a challenging task. We describe the data collection scheme with Amazon Mechanical Turk. Lastly, we illustrate the usefulness of ImageNet through three simple applications in object recognition, image classification and automatic object clustering. We hope that the scale, accuracy, diversity and hierarchical structure of ImageNet can offer unparalleled opportunities to researchers in the computer vision community and beyond.","author":[{"dropping-particle":"","family":"Deng","given":"Jia","non-dropping-particle":"","parse-names":false,"suffix":""},{"dropping-particle":"","family":"Dong","given":"Wei","non-dropping-particle":"","parse-names":false,"suffix":""},{"dropping-particle":"","family":"Socher","given":"Richard","non-dropping-particle":"","parse-names":false,"suffix":""},{"dropping-particle":"","family":"Li","given":"Li Jia","non-dropping-particle":"","parse-names":false,"suffix":""},{"dropping-particle":"","family":"Li","given":"Kai","non-dropping-particle":"","parse-names":false,"suffix":""},{"dropping-particle":"","family":"Fei-Fei","given":"Li","non-dropping-particle":"","parse-names":false,"suffix":""}],"container-title":"2009 IEEE Conference on Computer Vision and Pattern Recognition, CVPR 2009","id":"ITEM-2","issued":{"date-parts":[["2009"]]},"page":"248-255","publisher":"IEEE Computer Society","title":"ImageNet: A Large-Scale Hierarchical Image Database","type":"article-journal"},"uris":["http://www.mendeley.com/documents/?uuid=07fd2999-01d6-3da9-8f11-c9605ea1bd50"]}],"mendeley":{"formattedCitation":"(Deng et al., 2009; G. Huang et al., 2017)","plainTextFormattedCitation":"(Deng et al., 2009; G. Huang et al., 2017)","previouslyFormattedCitation":"(Deng et al., 2009; G. Huang et al., 2017)"},"properties":{"noteIndex":0},"schema":"https://github.com/citation-style-language/schema/raw/master/csl-citation.json"}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(Deng et al., 2009; G. Huang et al., 2017)</w:t>
      </w:r>
      <w:r w:rsidR="00AC279C">
        <w:rPr>
          <w:rFonts w:ascii="Times New Roman" w:hAnsi="Times New Roman" w:cs="Times New Roman"/>
          <w:sz w:val="24"/>
        </w:rPr>
        <w:fldChar w:fldCharType="end"/>
      </w:r>
      <w:r w:rsidRPr="008616B1">
        <w:rPr>
          <w:rFonts w:ascii="Times New Roman" w:hAnsi="Times New Roman" w:cs="Times New Roman"/>
          <w:sz w:val="24"/>
        </w:rPr>
        <w:t>. The classification head consisted of:</w:t>
      </w:r>
    </w:p>
    <w:p w:rsidR="008616B1" w:rsidRPr="008616B1" w:rsidRDefault="008616B1" w:rsidP="00BF1173">
      <w:pPr>
        <w:pStyle w:val="HTMLPreformatted"/>
        <w:numPr>
          <w:ilvl w:val="0"/>
          <w:numId w:val="2"/>
        </w:numPr>
        <w:spacing w:line="360" w:lineRule="auto"/>
        <w:rPr>
          <w:rFonts w:ascii="Times New Roman" w:hAnsi="Times New Roman" w:cs="Times New Roman"/>
          <w:sz w:val="24"/>
        </w:rPr>
      </w:pPr>
      <w:r w:rsidRPr="008616B1">
        <w:rPr>
          <w:rFonts w:ascii="Times New Roman" w:hAnsi="Times New Roman" w:cs="Times New Roman"/>
          <w:sz w:val="24"/>
        </w:rPr>
        <w:t>Global average pooling layer</w:t>
      </w:r>
    </w:p>
    <w:p w:rsidR="008616B1" w:rsidRPr="006F57EE" w:rsidRDefault="008616B1" w:rsidP="00BF1173">
      <w:pPr>
        <w:pStyle w:val="HTMLPreformatted"/>
        <w:numPr>
          <w:ilvl w:val="0"/>
          <w:numId w:val="2"/>
        </w:numPr>
        <w:spacing w:line="360" w:lineRule="auto"/>
        <w:rPr>
          <w:rFonts w:ascii="Times New Roman" w:hAnsi="Times New Roman" w:cs="Times New Roman"/>
          <w:sz w:val="24"/>
        </w:rPr>
      </w:pPr>
      <w:r w:rsidRPr="008616B1">
        <w:rPr>
          <w:rFonts w:ascii="Times New Roman" w:hAnsi="Times New Roman" w:cs="Times New Roman"/>
          <w:sz w:val="24"/>
        </w:rPr>
        <w:t>Dropout (30%) for regularization</w:t>
      </w:r>
      <w:r w:rsidR="006F57EE">
        <w:rPr>
          <w:rFonts w:ascii="Times New Roman" w:hAnsi="Times New Roman" w:cs="Times New Roman"/>
          <w:sz w:val="24"/>
        </w:rPr>
        <w:t xml:space="preserve">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\"thinned\"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author":[{"dropping-particle":"","family":"Srivastava","given":"N","non-dropping-particle":"","parse-names":false,"suffix":""},{"dropping-particle":"","family":"Hinton","given":"G","non-dropping-particle":"","parse-names":false,"suffix":""},{"dropping-particle":"","family":"…","given":"A Krizhevsky - The journal of machine","non-dropping-particle":"","parse-names":false,"suffix":""},{"dropping-particle":"","family":"2014","given":"undefined","non-dropping-particle":"","parse-names":false,"suffix":""}],"container-title":"jmlr.org","id":"ITEM-1","issued":{"date-parts":[["2014"]]},"page":"1929-1958","title":"Dropout: a simple way to prevent neural networks from overfitting","type":"article-journal","volume":"15"},"uris":["http://www.mendeley.com/documents/?uuid=3e1521ad-5c81-32b2-b6fb-3be2d446d7bc"]}],"mendeley":{"formattedCitation":"(Srivastava et al., 2014)","plainTextFormattedCitation":"(Srivastava et al., 2014)","previouslyFormattedCitation":"(Srivastava et al., 2014)"},"properties":{"noteIndex":0},"schema":"https://github.com/citation-style-language/schema/raw/master/csl-citation.json"}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(Srivastava et al., 2014)</w:t>
      </w:r>
      <w:r w:rsidR="00AC279C">
        <w:rPr>
          <w:rFonts w:ascii="Times New Roman" w:hAnsi="Times New Roman" w:cs="Times New Roman"/>
          <w:sz w:val="24"/>
        </w:rPr>
        <w:fldChar w:fldCharType="end"/>
      </w:r>
      <w:r w:rsidR="006F57EE">
        <w:rPr>
          <w:rFonts w:ascii="Times New Roman" w:hAnsi="Times New Roman" w:cs="Times New Roman"/>
          <w:sz w:val="24"/>
        </w:rPr>
        <w:t>.</w:t>
      </w:r>
    </w:p>
    <w:p w:rsidR="008616B1" w:rsidRPr="008616B1" w:rsidRDefault="008616B1" w:rsidP="00BF1173">
      <w:pPr>
        <w:pStyle w:val="HTMLPreformatted"/>
        <w:numPr>
          <w:ilvl w:val="0"/>
          <w:numId w:val="2"/>
        </w:numPr>
        <w:spacing w:line="360" w:lineRule="auto"/>
        <w:rPr>
          <w:rFonts w:ascii="Times New Roman" w:hAnsi="Times New Roman" w:cs="Times New Roman"/>
          <w:sz w:val="24"/>
        </w:rPr>
      </w:pPr>
      <w:r w:rsidRPr="008616B1">
        <w:rPr>
          <w:rFonts w:ascii="Times New Roman" w:hAnsi="Times New Roman" w:cs="Times New Roman"/>
          <w:sz w:val="24"/>
        </w:rPr>
        <w:t>Dense layer (128 units, ReLU activation)</w:t>
      </w:r>
    </w:p>
    <w:p w:rsidR="008616B1" w:rsidRPr="008616B1" w:rsidRDefault="008616B1" w:rsidP="00BF1173">
      <w:pPr>
        <w:pStyle w:val="HTMLPreformatted"/>
        <w:numPr>
          <w:ilvl w:val="0"/>
          <w:numId w:val="2"/>
        </w:numPr>
        <w:spacing w:line="360" w:lineRule="auto"/>
        <w:rPr>
          <w:rFonts w:ascii="Times New Roman" w:hAnsi="Times New Roman" w:cs="Times New Roman"/>
          <w:sz w:val="24"/>
        </w:rPr>
      </w:pPr>
      <w:r w:rsidRPr="008616B1">
        <w:rPr>
          <w:rFonts w:ascii="Times New Roman" w:hAnsi="Times New Roman" w:cs="Times New Roman"/>
          <w:sz w:val="24"/>
        </w:rPr>
        <w:t>Dropout (30%)</w:t>
      </w:r>
    </w:p>
    <w:p w:rsidR="008616B1" w:rsidRDefault="008616B1" w:rsidP="00BF1173">
      <w:pPr>
        <w:pStyle w:val="HTMLPreformatted"/>
        <w:numPr>
          <w:ilvl w:val="0"/>
          <w:numId w:val="2"/>
        </w:numPr>
        <w:spacing w:line="360" w:lineRule="auto"/>
        <w:rPr>
          <w:rFonts w:ascii="Times New Roman" w:hAnsi="Times New Roman" w:cs="Times New Roman"/>
          <w:sz w:val="24"/>
        </w:rPr>
      </w:pPr>
      <w:r w:rsidRPr="008616B1">
        <w:rPr>
          <w:rFonts w:ascii="Times New Roman" w:hAnsi="Times New Roman" w:cs="Times New Roman"/>
          <w:sz w:val="24"/>
        </w:rPr>
        <w:t>Output layer (1 unit, sigmoid activation</w:t>
      </w:r>
      <w:r w:rsidR="00741CB3">
        <w:rPr>
          <w:rFonts w:ascii="Times New Roman" w:hAnsi="Times New Roman" w:cs="Times New Roman"/>
          <w:sz w:val="24"/>
        </w:rPr>
        <w:t xml:space="preserve"> for binary classification</w:t>
      </w:r>
      <w:r w:rsidRPr="008616B1">
        <w:rPr>
          <w:rFonts w:ascii="Times New Roman" w:hAnsi="Times New Roman" w:cs="Times New Roman"/>
          <w:sz w:val="24"/>
        </w:rPr>
        <w:t>)</w:t>
      </w:r>
    </w:p>
    <w:p w:rsidR="00741CB3" w:rsidRPr="008616B1" w:rsidRDefault="00741CB3" w:rsidP="00BF1173">
      <w:pPr>
        <w:pStyle w:val="HTMLPreformatted"/>
        <w:spacing w:line="360" w:lineRule="auto"/>
        <w:rPr>
          <w:rFonts w:ascii="Times New Roman" w:hAnsi="Times New Roman" w:cs="Times New Roman"/>
          <w:sz w:val="24"/>
        </w:rPr>
      </w:pPr>
      <w:r>
        <w:rPr>
          <w:rFonts w:ascii="Times New Roman" w:hAnsi="Times New Roman" w:cs="Times New Roman"/>
          <w:sz w:val="24"/>
        </w:rPr>
        <w:t xml:space="preserve">The total model </w:t>
      </w:r>
      <w:r w:rsidRPr="00741CB3">
        <w:rPr>
          <w:rFonts w:ascii="Times New Roman" w:hAnsi="Times New Roman" w:cs="Times New Roman"/>
          <w:sz w:val="24"/>
        </w:rPr>
        <w:t>contained 7,168,833 parameters, of which 131,329 were trainable.</w:t>
      </w:r>
    </w:p>
    <w:p w:rsidR="008616B1" w:rsidRDefault="008616B1" w:rsidP="008B6F3D">
      <w:pPr>
        <w:pStyle w:val="Heading2"/>
        <w:rPr>
          <w:rStyle w:val="token"/>
          <w:rFonts w:eastAsiaTheme="majorEastAsia"/>
        </w:rPr>
      </w:pPr>
      <w:r>
        <w:rPr>
          <w:rStyle w:val="token"/>
          <w:rFonts w:eastAsiaTheme="majorEastAsia"/>
        </w:rPr>
        <w:t>2.4 Training Protocol</w:t>
      </w:r>
    </w:p>
    <w:p w:rsidR="008616B1" w:rsidRPr="00503E3D" w:rsidRDefault="008616B1" w:rsidP="0095366C">
      <w:pPr>
        <w:pStyle w:val="HTMLPreformatted"/>
        <w:spacing w:line="360" w:lineRule="auto"/>
        <w:jc w:val="both"/>
        <w:rPr>
          <w:rFonts w:ascii="Times New Roman" w:hAnsi="Times New Roman" w:cs="Times New Roman"/>
          <w:sz w:val="24"/>
        </w:rPr>
      </w:pPr>
      <w:r w:rsidRPr="00503E3D">
        <w:rPr>
          <w:rFonts w:ascii="Times New Roman" w:hAnsi="Times New Roman" w:cs="Times New Roman"/>
          <w:sz w:val="24"/>
        </w:rPr>
        <w:t>The dataset was split into training (80%, n=800) and testing (20%, n=200) sets stratified by class</w:t>
      </w:r>
      <w:r w:rsidR="00741CB3">
        <w:rPr>
          <w:rFonts w:ascii="Times New Roman" w:hAnsi="Times New Roman" w:cs="Times New Roman"/>
          <w:sz w:val="24"/>
        </w:rPr>
        <w:t xml:space="preserve"> to maintain class balance</w:t>
      </w:r>
      <w:r w:rsidRPr="00503E3D">
        <w:rPr>
          <w:rFonts w:ascii="Times New Roman" w:hAnsi="Times New Roman" w:cs="Times New Roman"/>
          <w:sz w:val="24"/>
        </w:rPr>
        <w:t xml:space="preserve">. Training employed a two-phase </w:t>
      </w:r>
      <w:r w:rsidR="00741CB3">
        <w:rPr>
          <w:rFonts w:ascii="Times New Roman" w:hAnsi="Times New Roman" w:cs="Times New Roman"/>
          <w:sz w:val="24"/>
        </w:rPr>
        <w:t xml:space="preserve">transfer learning </w:t>
      </w:r>
      <w:r w:rsidRPr="00503E3D">
        <w:rPr>
          <w:rFonts w:ascii="Times New Roman" w:hAnsi="Times New Roman" w:cs="Times New Roman"/>
          <w:sz w:val="24"/>
        </w:rPr>
        <w:t>approach</w:t>
      </w:r>
      <w:r w:rsidR="00741CB3">
        <w:rPr>
          <w:rFonts w:ascii="Times New Roman" w:hAnsi="Times New Roman" w:cs="Times New Roman"/>
          <w:sz w:val="24"/>
        </w:rPr>
        <w:t xml:space="preserve">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{"citationItems":[{"id":"ITEM-1","itemData":{"abstract":"Many deep neural networks trained on natural images exhibit a curious phenomenon in common: on the first layer they learn features similar to Gabor filters and color blobs. Such first-layer features appear not to be specific to a particular dataset or task, but general in that they are applicable to many datasets and tasks. Features must eventually transition from general to specific by the last layer of the network, but this transition has not been studied extensively. In this paper we experimentally quantify the generality versus specificity of neurons in each layer of a deep convolutional neural network and report a few surprising results. Trans-ferability is negatively affected by two distinct issues: (1) the specialization of higher layer neurons to their original task at the expense of performance on the target task, which was expected, and (2) optimization difficulties related to splitting networks between co-adapted neurons, which was not expected. In an example network trained on ImageNet, we demonstrate that either of these two issues may dominate, depending on whether features are transferred from the bottom, middle, or top of the network. We also document that the transferability of features decreases as the distance between the base task and target task increases, but that transferring features even from distant tasks can be better than using random features. A final surprising result is that initializing a network with transferred features from almost any number of layers can produce a boost to generalization that lingers even after fine-tuning to the target dataset.","author":[{"dropping-particle":"","family":"Yosinski","given":"Jason","non-dropping-particle":"","parse-names":false,"suffix":""},{"dropping-particle":"","family":"Clune","given":"Jeff","non-dropping-particle":"","parse-names":false,"suffix":""},{"dropping-particle":"","family":"Bengio","given":"Yoshua","non-dropping-particle":"","parse-names":false,"suffix":""},{"dropping-particle":"","family":"Lipson","given":"Hod","non-dropping-particle":"","parse-names":false,"suffix":""}],"container-title":"Advances in Neural Information Processing Systems","id":"ITEM-1","issued":{"date-parts":[["2014"]]},"title":"How transferable are features in deep neural networks?","type":"article-journal","volume":"27"},"uris":["http://www.mendeley.com/documents/?uuid=8d3907ff-aab8-33df-a887-4ab081544117"]}],"mendeley":{"formattedCitation":"(Yosinski et al., 2014)","plainTextFormattedCitation":"(Yosinski et al., 2014)","previouslyFormattedCitation":"(Yosinski et al., 2014)"},"properties":{"noteIndex":0},"schema":"https://github.com/citation-style-language/schema/raw/master/csl-citation.json"}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(Yosinski et al., 2014)</w:t>
      </w:r>
      <w:r w:rsidR="00AC279C">
        <w:rPr>
          <w:rFonts w:ascii="Times New Roman" w:hAnsi="Times New Roman" w:cs="Times New Roman"/>
          <w:sz w:val="24"/>
        </w:rPr>
        <w:fldChar w:fldCharType="end"/>
      </w:r>
      <w:r w:rsidRPr="00503E3D">
        <w:rPr>
          <w:rFonts w:ascii="Times New Roman" w:hAnsi="Times New Roman" w:cs="Times New Roman"/>
          <w:sz w:val="24"/>
        </w:rPr>
        <w:t>:</w:t>
      </w:r>
    </w:p>
    <w:p w:rsidR="008616B1" w:rsidRPr="00741CB3" w:rsidRDefault="00503E3D" w:rsidP="0095366C">
      <w:pPr>
        <w:pStyle w:val="HTMLPreformatted"/>
        <w:numPr>
          <w:ilvl w:val="0"/>
          <w:numId w:val="4"/>
        </w:numPr>
        <w:spacing w:line="360" w:lineRule="auto"/>
        <w:jc w:val="both"/>
        <w:rPr>
          <w:rFonts w:ascii="Times New Roman" w:hAnsi="Times New Roman" w:cs="Times New Roman"/>
          <w:sz w:val="24"/>
        </w:rPr>
      </w:pPr>
      <w:r w:rsidRPr="008B6F3D">
        <w:rPr>
          <w:rStyle w:val="token"/>
          <w:rFonts w:ascii="Times New Roman" w:eastAsiaTheme="majorEastAsia" w:hAnsi="Times New Roman" w:cs="Times New Roman"/>
          <w:sz w:val="24"/>
        </w:rPr>
        <w:t>Phase 1 (</w:t>
      </w:r>
      <w:r w:rsidR="00741CB3" w:rsidRPr="008B6F3D">
        <w:rPr>
          <w:rFonts w:ascii="Times New Roman" w:eastAsiaTheme="majorEastAsia" w:hAnsi="Times New Roman" w:cs="Times New Roman"/>
          <w:sz w:val="24"/>
        </w:rPr>
        <w:t>Head Training - 10 epochs</w:t>
      </w:r>
      <w:r w:rsidRPr="008B6F3D">
        <w:rPr>
          <w:rStyle w:val="token"/>
          <w:rFonts w:ascii="Times New Roman" w:eastAsiaTheme="majorEastAsia" w:hAnsi="Times New Roman" w:cs="Times New Roman"/>
          <w:sz w:val="24"/>
        </w:rPr>
        <w:t>):</w:t>
      </w:r>
      <w:r w:rsidR="008616B1" w:rsidRPr="00741CB3">
        <w:rPr>
          <w:rFonts w:ascii="Times New Roman" w:hAnsi="Times New Roman" w:cs="Times New Roman"/>
          <w:sz w:val="24"/>
        </w:rPr>
        <w:t xml:space="preserve"> </w:t>
      </w:r>
      <w:r w:rsidR="00741CB3" w:rsidRPr="00741CB3">
        <w:rPr>
          <w:rFonts w:ascii="Times New Roman" w:hAnsi="Times New Roman" w:cs="Times New Roman"/>
          <w:sz w:val="24"/>
        </w:rPr>
        <w:t xml:space="preserve">The base model layers were frozen, and only the </w:t>
      </w:r>
      <w:r w:rsidR="00741CB3" w:rsidRPr="00741CB3">
        <w:rPr>
          <w:rFonts w:ascii="Times New Roman" w:hAnsi="Times New Roman" w:cs="Times New Roman"/>
          <w:sz w:val="24"/>
        </w:rPr>
        <w:t>classification head was trained with a learning rate of 1 × 10⁻⁴.</w:t>
      </w:r>
    </w:p>
    <w:p w:rsidR="008616B1" w:rsidRPr="008B066C" w:rsidRDefault="00503E3D" w:rsidP="0095366C">
      <w:pPr>
        <w:pStyle w:val="HTMLPreformatted"/>
        <w:numPr>
          <w:ilvl w:val="0"/>
          <w:numId w:val="4"/>
        </w:numPr>
        <w:spacing w:line="360" w:lineRule="auto"/>
        <w:jc w:val="both"/>
        <w:rPr>
          <w:rFonts w:ascii="Times New Roman" w:hAnsi="Times New Roman" w:cs="Times New Roman"/>
          <w:sz w:val="24"/>
        </w:rPr>
      </w:pPr>
      <w:r w:rsidRPr="008B6F3D">
        <w:rPr>
          <w:rStyle w:val="token"/>
          <w:rFonts w:ascii="Times New Roman" w:eastAsiaTheme="majorEastAsia" w:hAnsi="Times New Roman" w:cs="Times New Roman"/>
          <w:sz w:val="24"/>
        </w:rPr>
        <w:t>Phase 2 (</w:t>
      </w:r>
      <w:r w:rsidR="00741CB3" w:rsidRPr="008B6F3D">
        <w:rPr>
          <w:rFonts w:ascii="Times New Roman" w:eastAsiaTheme="majorEastAsia" w:hAnsi="Times New Roman" w:cs="Times New Roman"/>
          <w:sz w:val="24"/>
        </w:rPr>
        <w:t>Fine-tuning - 30 epochs</w:t>
      </w:r>
      <w:r w:rsidRPr="008B6F3D">
        <w:rPr>
          <w:rStyle w:val="token"/>
          <w:rFonts w:ascii="Times New Roman" w:eastAsiaTheme="majorEastAsia" w:hAnsi="Times New Roman" w:cs="Times New Roman"/>
          <w:sz w:val="24"/>
        </w:rPr>
        <w:t>):</w:t>
      </w:r>
      <w:r w:rsidR="008616B1" w:rsidRPr="00741CB3">
        <w:rPr>
          <w:rFonts w:ascii="Times New Roman" w:hAnsi="Times New Roman" w:cs="Times New Roman"/>
          <w:sz w:val="24"/>
        </w:rPr>
        <w:t xml:space="preserve"> </w:t>
      </w:r>
      <w:r w:rsidR="008B066C" w:rsidRPr="008B066C">
        <w:rPr>
          <w:rFonts w:ascii="Times New Roman" w:hAnsi="Times New Roman" w:cs="Times New Roman"/>
          <w:sz w:val="24"/>
        </w:rPr>
        <w:t>The top 10</w:t>
      </w:r>
      <w:r w:rsidR="0095366C">
        <w:rPr>
          <w:rFonts w:ascii="Times New Roman" w:hAnsi="Times New Roman" w:cs="Times New Roman"/>
          <w:sz w:val="24"/>
        </w:rPr>
        <w:t xml:space="preserve">0 layers of the base model were </w:t>
      </w:r>
      <w:r w:rsidR="008B066C" w:rsidRPr="008B066C">
        <w:rPr>
          <w:rFonts w:ascii="Times New Roman" w:hAnsi="Times New Roman" w:cs="Times New Roman"/>
          <w:sz w:val="24"/>
        </w:rPr>
        <w:t>unfrozen, and all layers were trained with a reduced learning rate of 1 × 10⁻⁵.</w:t>
      </w:r>
    </w:p>
    <w:p w:rsidR="008B066C" w:rsidRPr="00503E3D" w:rsidRDefault="008B066C" w:rsidP="0095366C">
      <w:pPr>
        <w:pStyle w:val="HTMLPreformatted"/>
        <w:spacing w:line="360" w:lineRule="auto"/>
        <w:jc w:val="both"/>
        <w:rPr>
          <w:rFonts w:ascii="Times New Roman" w:hAnsi="Times New Roman" w:cs="Times New Roman"/>
          <w:sz w:val="24"/>
        </w:rPr>
      </w:pPr>
      <w:r w:rsidRPr="008B066C">
        <w:rPr>
          <w:rFonts w:ascii="Times New Roman" w:hAnsi="Times New Roman" w:cs="Times New Roman"/>
          <w:sz w:val="24"/>
        </w:rPr>
        <w:t>Early stopping monitored validation AUC with p</w:t>
      </w:r>
      <w:r w:rsidR="0095366C">
        <w:rPr>
          <w:rFonts w:ascii="Times New Roman" w:hAnsi="Times New Roman" w:cs="Times New Roman"/>
          <w:sz w:val="24"/>
        </w:rPr>
        <w:t xml:space="preserve">atience of 7 epochs to prevent </w:t>
      </w:r>
      <w:r w:rsidRPr="008B066C">
        <w:rPr>
          <w:rFonts w:ascii="Times New Roman" w:hAnsi="Times New Roman" w:cs="Times New Roman"/>
          <w:sz w:val="24"/>
        </w:rPr>
        <w:t xml:space="preserve">overfitting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{"citationItems":[{"id":"ITEM-1","itemData":{"DOI":"10.1007/3-540-49430-8_3","ISBN":"978-3-540-49430-0","abstract":"Validation can be used to detect when overfitting starts during supervised training of a neural network; training is then stopped before convergence to avoid the overfitting (“early stopping”). The exact criterion used for validation-based early stopping,...","author":[{"dropping-particle":"","family":"Prechelt","given":"Lutz","non-dropping-particle":"","parse-names":false,"suffix":""}],"id":"ITEM-1","issued":{"date-parts":[["1998"]]},"page":"55-69","publisher":"Springer, Berlin, Heidelberg","title":"Early Stopping - But When?","type":"article-journal"},"uris":["http://www.mendeley.com/documents/?uuid=a5004806-e456-327b-b47b-b7558acb8012"]}],"mendeley":{"formattedCitation":"(Prechelt, 1998)","plainTextFormattedCitation":"(Prechelt, 1998)","previouslyFormattedCitation":"(Prechelt, 1998)"},"properties":{"noteIndex":0},"schema":"https://github.com/citation-style-language/schema/raw/master/csl-citation.json"}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(Prechelt, 1998)</w:t>
      </w:r>
      <w:r w:rsidR="00AC279C">
        <w:rPr>
          <w:rFonts w:ascii="Times New Roman" w:hAnsi="Times New Roman" w:cs="Times New Roman"/>
          <w:sz w:val="24"/>
        </w:rPr>
        <w:fldChar w:fldCharType="end"/>
      </w:r>
      <w:r w:rsidRPr="008B066C">
        <w:rPr>
          <w:rFonts w:ascii="Times New Roman" w:hAnsi="Times New Roman" w:cs="Times New Roman"/>
          <w:sz w:val="24"/>
        </w:rPr>
        <w:t>. The model achiev</w:t>
      </w:r>
      <w:r w:rsidR="0095366C">
        <w:rPr>
          <w:rFonts w:ascii="Times New Roman" w:hAnsi="Times New Roman" w:cs="Times New Roman"/>
          <w:sz w:val="24"/>
        </w:rPr>
        <w:t xml:space="preserve">ing the highest validation AUC </w:t>
      </w:r>
      <w:r w:rsidRPr="008B066C">
        <w:rPr>
          <w:rFonts w:ascii="Times New Roman" w:hAnsi="Times New Roman" w:cs="Times New Roman"/>
          <w:sz w:val="24"/>
        </w:rPr>
        <w:t>was saved as the final model. The Adam optim</w:t>
      </w:r>
      <w:r w:rsidR="0095366C">
        <w:rPr>
          <w:rFonts w:ascii="Times New Roman" w:hAnsi="Times New Roman" w:cs="Times New Roman"/>
          <w:sz w:val="24"/>
        </w:rPr>
        <w:t xml:space="preserve">izer was used for its adaptive </w:t>
      </w:r>
      <w:r w:rsidRPr="008B066C">
        <w:rPr>
          <w:rFonts w:ascii="Times New Roman" w:hAnsi="Times New Roman" w:cs="Times New Roman"/>
          <w:sz w:val="24"/>
        </w:rPr>
        <w:t xml:space="preserve">learning rate properties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norm.","author":[{"dropping-particle":"","family":"Kingma","given":"Diederik P.","non-dropping-particle":"","parse-names":false,"suffix":""},{"dropping-particle":"","family":"Ba","given":"Jimmy Lei","non-dropping-particle":"","parse-names":false,"suffix":""}],"container-title":"3rd International Conference on Learning Representations, ICLR 2015 - Conference Track Proceedings","id":"ITEM-1","issued":{"date-parts":[["2014","12","22"]]},"publisher":"International Conference on Learning Representations, ICLR","title":"Adam: A Method for Stochastic Optimization","type":"article-journal"},"uris":["http://www.mendeley.com/documents/?uuid=732678d4-637a-31e2-bf2c-c10de39f5f16"]}],"mendeley":{"formattedCitation":"(Kingma &amp; Ba, 2014)","plainTextFormattedCitation":"(Kingma &amp; Ba, 2014)","previouslyFormattedCitation":"(Kingma &amp; Ba, 2014)"},"properties":{"noteIndex":0},"schema":"https://github.com/citation-style-language/schema/raw/master/csl-citation.json"}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(Kingma &amp; Ba, 2014)</w:t>
      </w:r>
      <w:r w:rsidR="00AC279C">
        <w:rPr>
          <w:rFonts w:ascii="Times New Roman" w:hAnsi="Times New Roman" w:cs="Times New Roman"/>
          <w:sz w:val="24"/>
        </w:rPr>
        <w:fldChar w:fldCharType="end"/>
      </w:r>
      <w:r w:rsidRPr="008B066C">
        <w:rPr>
          <w:rFonts w:ascii="Times New Roman" w:hAnsi="Times New Roman" w:cs="Times New Roman"/>
          <w:sz w:val="24"/>
        </w:rPr>
        <w:t>.</w:t>
      </w:r>
    </w:p>
    <w:p w:rsidR="00503E3D" w:rsidRDefault="00503E3D" w:rsidP="008B6F3D">
      <w:pPr>
        <w:pStyle w:val="Heading2"/>
      </w:pPr>
      <w:r>
        <w:rPr>
          <w:rStyle w:val="token"/>
          <w:rFonts w:eastAsiaTheme="majorEastAsia"/>
        </w:rPr>
        <w:t>2.5 Explainability with Grad-CAM</w:t>
      </w:r>
    </w:p>
    <w:p w:rsidR="00BF1173" w:rsidRPr="00BF1173" w:rsidRDefault="00BF1173" w:rsidP="00953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BF1173">
        <w:rPr>
          <w:rFonts w:ascii="Times New Roman" w:eastAsia="Times New Roman" w:hAnsi="Times New Roman" w:cs="Times New Roman"/>
          <w:sz w:val="24"/>
          <w:szCs w:val="24"/>
        </w:rPr>
        <w:t xml:space="preserve">Gradient-weighted Class Activation Mapping (Grad-CAM) was implemented to generate attention maps explaining model decisions </w:t>
      </w:r>
      <w:r w:rsidR="00AC279C">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{"citationItems":[{"id":"ITEM-1","itemData":{"DOI":"10.1007/S11263-019-01228-7/FIGURES/21","ISSN":"15731405","abstract":"We propose a technique for producing ‘visual explanations’ for decisions from a large class of Convolutional Neural Network (CNN)-based models, making them more transparent and explainable. Our approach—Gradient-weighted Class Activation Mapping (Grad-CAM), uses the gradients of any target concept (say ‘dog’ in a classification network or a sequence of words in captioning network) flowing into the final convolutional layer to produce a coarse localization map highlighting the important regions in the image for predicting the concept. Unlike previous approaches, Grad-CAM is applicable to a wide variety of CNN model-families: (1) CNNs with fully-connected layers (e.g.VGG), (2) CNNs used for structured outputs (e.g.captioning), (3) CNNs used in tasks with multi-modal inputs (e.g.visual question answering) or reinforcement learning, all without architectural changes or re-training. We combine Grad-CAM with existing fine-grained visualizations to create a high-resolution class-discriminative visualization, Guided Grad-CAM, and apply it to image classification, image captioning, and visual question answering (VQA) models, including ResNet-based architectures. In the context of image classification models, our visualizations (a) lend insights into failure modes of these models (showing that seemingly unreasonable predictions have reasonable explanations), (b) outperform previous methods on the ILSVRC-15 weakly-supervised localization task, (c) are robust to adversarial perturbations, (d) are more faithful to the underlying model, and (e) help achieve model generalization by identifying dataset bias. For image captioning and VQA, our visualizations show that even non-attention based models learn to localize discriminative regions of input image. We devise a way to identify important neurons through Grad-CAM and combine it with neuron names (Bau et al. in Computer vision and pattern recognition, 2017) to provide textual explanations for model decisions. Finally, we design and conduct human studies to measure if Grad-CAM explanations help users establish appropriate trust in predictions from deep networks and show that Grad-CAM helps untrained users successfully discern a ‘stronger’ deep network from a ‘weaker’ one even when both make identical predictions. Our code is available at https://github.com/ramprs/grad-cam/, along with a demo on CloudCV (Agrawal et al., in: Mobile cloud visual media computing, pp 265–290. Springer, 2015) (http://gradcam.cloudcv.org) and…","author":[{"dropping-particle":"","family":"Selvaraju","given":"Ramprasaath R.","non-dropping-particle":"","parse-names":false,"suffix":""},{"dropping-particle":"","family":"Cogswell","given":"Michael","non-dropping-particle":"","parse-names":false,"suffix":""},{"dropping-particle":"","family":"Das","given":"Abhishek","non-dropping-particle":"","parse-names":false,"suffix":""},{"dropping-particle":"","family":"Vedantam","given":"Ramakrishna","non-dropping-particle":"","parse-names":false,"suffix":""},{"dropping-particle":"","family":"Parikh","given":"Devi","non-dropping-particle":"","parse-names":false,"suffix":""},{"dropping-particle":"","family":"Batra","given":"Dhruv","non-dropping-particle":"","parse-names":false,"suffix":""}],"container-title":"International Journal of Computer Vision","id":"ITEM-1","issue":"2","issued":{"date-parts":[["2020","2","1"]]},"page":"336-359","publisher":"Springer","title":"Grad-CAM: Visual Explanations from Deep Networks via Gradient-Based Localization","type":"article-journal","volume":"128"},"uris":["http://www.mendeley.com/documents/?uuid=5af1885e-465e-3d71-9d40-5b71ed87cafb"]}],"mendeley":{"formattedCitation":"(Selvaraju et al., 2020)","plainTextFormattedCitation":"(Selvaraju et al., 2020)","previouslyFormattedCitation":"(Selvaraju et al., 2020)"},"properties":{"noteIndex":0},"schema":"https://github.com/citation-style-language/schema/raw/master/csl-citation.json"}</w:instrText>
      </w:r>
      <w:r w:rsidR="00AC279C">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(Selvaraju et al., 2020)</w:t>
      </w:r>
      <w:r w:rsidR="00AC279C">
        <w:rPr>
          <w:rFonts w:ascii="Times New Roman" w:eastAsia="Times New Roman" w:hAnsi="Times New Roman" w:cs="Times New Roman"/>
          <w:sz w:val="24"/>
          <w:szCs w:val="24"/>
        </w:rPr>
        <w:fldChar w:fldCharType="end"/>
      </w:r>
      <w:r w:rsidRPr="00BF1173">
        <w:rPr>
          <w:rFonts w:ascii="Times New Roman" w:eastAsia="Times New Roman" w:hAnsi="Times New Roman" w:cs="Times New Roman"/>
          <w:sz w:val="24"/>
          <w:szCs w:val="24"/>
        </w:rPr>
        <w:t xml:space="preserve">. Grad-CAM computes gradients flowing into the last convolutional layer of </w:t>
      </w:r>
      <w:r w:rsidR="0095366C">
        <w:rPr>
          <w:rFonts w:ascii="Times New Roman" w:eastAsia="Times New Roman" w:hAnsi="Times New Roman" w:cs="Times New Roman"/>
          <w:sz w:val="24"/>
          <w:szCs w:val="24"/>
        </w:rPr>
        <w:t xml:space="preserve">DenseNet121 to produce a coarse </w:t>
      </w:r>
      <w:r w:rsidRPr="00BF1173">
        <w:rPr>
          <w:rFonts w:ascii="Times New Roman" w:eastAsia="Times New Roman" w:hAnsi="Times New Roman" w:cs="Times New Roman"/>
          <w:sz w:val="24"/>
          <w:szCs w:val="24"/>
        </w:rPr>
        <w:t>localization map highlighting important regions for prediction. The heatmaps were overlaid on original images using a jet colormap where red indicates high attention and blue indicates low attention.</w:t>
      </w:r>
    </w:p>
    <w:p w:rsidR="00503E3D" w:rsidRDefault="00BF1173" w:rsidP="008B6F3D">
      <w:pPr>
        <w:pStyle w:val="Heading2"/>
        <w:rPr>
          <w:rStyle w:val="token"/>
          <w:rFonts w:eastAsiaTheme="majorEastAsia"/>
        </w:rPr>
      </w:pPr>
      <w:r>
        <w:rPr>
          <w:rStyle w:val="token"/>
          <w:rFonts w:eastAsiaTheme="majorEastAsia"/>
        </w:rPr>
        <w:t xml:space="preserve"> </w:t>
      </w:r>
      <w:r w:rsidR="00503E3D">
        <w:rPr>
          <w:rStyle w:val="token"/>
          <w:rFonts w:eastAsiaTheme="majorEastAsia"/>
        </w:rPr>
        <w:t>2.6 Evaluation Metrics</w:t>
      </w:r>
    </w:p>
    <w:p w:rsidR="00503E3D" w:rsidRPr="00503E3D" w:rsidRDefault="00503E3D" w:rsidP="0095366C">
      <w:pPr>
        <w:pStyle w:val="HTMLPreformatted"/>
        <w:spacing w:line="360" w:lineRule="auto"/>
        <w:jc w:val="both"/>
        <w:rPr>
          <w:rFonts w:ascii="Times New Roman" w:hAnsi="Times New Roman" w:cs="Times New Roman"/>
          <w:sz w:val="24"/>
        </w:rPr>
      </w:pPr>
      <w:r w:rsidRPr="00503E3D">
        <w:rPr>
          <w:rFonts w:ascii="Times New Roman" w:hAnsi="Times New Roman" w:cs="Times New Roman"/>
          <w:sz w:val="24"/>
        </w:rPr>
        <w:t>Model performance was assessed using</w:t>
      </w:r>
      <w:r w:rsidR="00BF1173">
        <w:rPr>
          <w:rFonts w:ascii="Times New Roman" w:hAnsi="Times New Roman" w:cs="Times New Roman"/>
          <w:sz w:val="24"/>
        </w:rPr>
        <w:t xml:space="preserve"> </w:t>
      </w:r>
      <w:r w:rsidR="00BF1173" w:rsidRPr="00BF1173">
        <w:rPr>
          <w:rFonts w:ascii="Times New Roman" w:hAnsi="Times New Roman" w:cs="Times New Roman"/>
          <w:sz w:val="24"/>
        </w:rPr>
        <w:t xml:space="preserve">standard medical imaging classification metrics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{"citationItems":[{"id":"ITEM-1","itemData":{"DOI":"10.1016/J.IPM.2009.03.002","ISSN":"0306-4573","abstract":"This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 © 2009 Elsevier Ltd. All rights reserved.","author":[{"dropping-particle":"","family":"Sokolova","given":"Marina","non-dropping-particle":"","parse-names":false,"suffix":""},{"dropping-particle":"","family":"Lapalme","given":"Guy","non-dropping-particle":"","parse-names":false,"suffix":""}],"container-title":"Information Processing &amp; Management","id":"ITEM-1","issue":"4","issued":{"date-parts":[["2009","7","1"]]},"page":"427-437","publisher":"Pergamon","title":"A systematic analysis of performance measures for classification tasks","type":"article-journal","volume":"45"},"uris":["http://www.mendeley.com/documents/?uuid=05ab9517-fcad-30df-b65f-c601117fd60c"]}],"mendeley":{"formattedCitation":"(Sokolova &amp; Lapalme, 2009)","plainTextFormattedCitation":"(Sokolova &amp; Lapalme, 2009)","previouslyFormattedCitation":"(Sokolova &amp; Lapalme, 2009)"},"properties":{"noteIndex":0},"schema":"https://github.com/citation-style-language/schema/raw/master/csl-citation.json"}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(Sokolova &amp; Lapalme, 2009)</w:t>
      </w:r>
      <w:r w:rsidR="00AC279C">
        <w:rPr>
          <w:rFonts w:ascii="Times New Roman" w:hAnsi="Times New Roman" w:cs="Times New Roman"/>
          <w:sz w:val="24"/>
        </w:rPr>
        <w:fldChar w:fldCharType="end"/>
      </w:r>
      <w:r w:rsidRPr="00503E3D">
        <w:rPr>
          <w:rFonts w:ascii="Times New Roman" w:hAnsi="Times New Roman" w:cs="Times New Roman"/>
          <w:sz w:val="24"/>
        </w:rPr>
        <w:t>:</w:t>
      </w:r>
    </w:p>
    <w:p w:rsidR="00503E3D" w:rsidRPr="00503E3D" w:rsidRDefault="00503E3D" w:rsidP="00BF1173">
      <w:pPr>
        <w:pStyle w:val="HTMLPreformatted"/>
        <w:numPr>
          <w:ilvl w:val="0"/>
          <w:numId w:val="5"/>
        </w:numPr>
        <w:spacing w:line="360" w:lineRule="auto"/>
        <w:rPr>
          <w:rFonts w:ascii="Times New Roman" w:hAnsi="Times New Roman" w:cs="Times New Roman"/>
          <w:sz w:val="24"/>
        </w:rPr>
      </w:pPr>
      <w:r w:rsidRPr="00503E3D">
        <w:rPr>
          <w:rFonts w:ascii="Times New Roman" w:hAnsi="Times New Roman" w:cs="Times New Roman"/>
          <w:sz w:val="24"/>
        </w:rPr>
        <w:lastRenderedPageBreak/>
        <w:t>Area Under the ROC Curve (AUC-ROC)</w:t>
      </w:r>
    </w:p>
    <w:p w:rsidR="00503E3D" w:rsidRPr="00503E3D" w:rsidRDefault="00503E3D" w:rsidP="00BF1173">
      <w:pPr>
        <w:pStyle w:val="HTMLPreformatted"/>
        <w:numPr>
          <w:ilvl w:val="0"/>
          <w:numId w:val="5"/>
        </w:numPr>
        <w:spacing w:line="360" w:lineRule="auto"/>
        <w:rPr>
          <w:rFonts w:ascii="Times New Roman" w:hAnsi="Times New Roman" w:cs="Times New Roman"/>
          <w:sz w:val="24"/>
        </w:rPr>
      </w:pPr>
      <w:r w:rsidRPr="00503E3D">
        <w:rPr>
          <w:rFonts w:ascii="Times New Roman" w:hAnsi="Times New Roman" w:cs="Times New Roman"/>
          <w:sz w:val="24"/>
        </w:rPr>
        <w:t>Accuracy</w:t>
      </w:r>
    </w:p>
    <w:p w:rsidR="00503E3D" w:rsidRPr="00503E3D" w:rsidRDefault="00503E3D" w:rsidP="00BF1173">
      <w:pPr>
        <w:pStyle w:val="HTMLPreformatted"/>
        <w:numPr>
          <w:ilvl w:val="0"/>
          <w:numId w:val="5"/>
        </w:numPr>
        <w:spacing w:line="360" w:lineRule="auto"/>
        <w:rPr>
          <w:rFonts w:ascii="Times New Roman" w:hAnsi="Times New Roman" w:cs="Times New Roman"/>
          <w:sz w:val="24"/>
        </w:rPr>
      </w:pPr>
      <w:r w:rsidRPr="00503E3D">
        <w:rPr>
          <w:rFonts w:ascii="Times New Roman" w:hAnsi="Times New Roman" w:cs="Times New Roman"/>
          <w:sz w:val="24"/>
        </w:rPr>
        <w:t>Sensitivity (Recall)</w:t>
      </w:r>
    </w:p>
    <w:p w:rsidR="00503E3D" w:rsidRPr="00503E3D" w:rsidRDefault="00503E3D" w:rsidP="00BF1173">
      <w:pPr>
        <w:pStyle w:val="HTMLPreformatted"/>
        <w:numPr>
          <w:ilvl w:val="0"/>
          <w:numId w:val="5"/>
        </w:numPr>
        <w:spacing w:line="360" w:lineRule="auto"/>
        <w:rPr>
          <w:rFonts w:ascii="Times New Roman" w:hAnsi="Times New Roman" w:cs="Times New Roman"/>
          <w:sz w:val="24"/>
        </w:rPr>
      </w:pPr>
      <w:r w:rsidRPr="00503E3D">
        <w:rPr>
          <w:rFonts w:ascii="Times New Roman" w:hAnsi="Times New Roman" w:cs="Times New Roman"/>
          <w:sz w:val="24"/>
        </w:rPr>
        <w:t>Specificity</w:t>
      </w:r>
    </w:p>
    <w:p w:rsidR="00503E3D" w:rsidRPr="00503E3D" w:rsidRDefault="00503E3D" w:rsidP="00BF1173">
      <w:pPr>
        <w:pStyle w:val="HTMLPreformatted"/>
        <w:numPr>
          <w:ilvl w:val="0"/>
          <w:numId w:val="5"/>
        </w:numPr>
        <w:spacing w:line="360" w:lineRule="auto"/>
        <w:rPr>
          <w:rFonts w:ascii="Times New Roman" w:hAnsi="Times New Roman" w:cs="Times New Roman"/>
          <w:sz w:val="24"/>
        </w:rPr>
      </w:pPr>
      <w:r>
        <w:rPr>
          <w:rFonts w:ascii="Times New Roman" w:hAnsi="Times New Roman" w:cs="Times New Roman"/>
          <w:sz w:val="24"/>
        </w:rPr>
        <w:t>Precision</w:t>
      </w:r>
    </w:p>
    <w:p w:rsidR="00503E3D" w:rsidRPr="00503E3D" w:rsidRDefault="00503E3D" w:rsidP="0095366C">
      <w:pPr>
        <w:pStyle w:val="HTMLPreformatted"/>
        <w:spacing w:line="360" w:lineRule="auto"/>
        <w:jc w:val="both"/>
        <w:rPr>
          <w:rFonts w:ascii="Times New Roman" w:hAnsi="Times New Roman" w:cs="Times New Roman"/>
          <w:sz w:val="24"/>
        </w:rPr>
      </w:pPr>
      <w:r w:rsidRPr="00503E3D">
        <w:rPr>
          <w:rFonts w:ascii="Times New Roman" w:hAnsi="Times New Roman" w:cs="Times New Roman"/>
          <w:sz w:val="24"/>
        </w:rPr>
        <w:t xml:space="preserve">Confidence intervals (95%) were calculated using bootstrapping with 1000 </w:t>
      </w:r>
      <w:r w:rsidR="00BF1173" w:rsidRPr="00503E3D">
        <w:rPr>
          <w:rFonts w:ascii="Times New Roman" w:hAnsi="Times New Roman" w:cs="Times New Roman"/>
          <w:sz w:val="24"/>
        </w:rPr>
        <w:t>I</w:t>
      </w:r>
      <w:r w:rsidRPr="00503E3D">
        <w:rPr>
          <w:rFonts w:ascii="Times New Roman" w:hAnsi="Times New Roman" w:cs="Times New Roman"/>
          <w:sz w:val="24"/>
        </w:rPr>
        <w:t>terations</w:t>
      </w:r>
      <w:r w:rsidR="00BF1173">
        <w:rPr>
          <w:rFonts w:ascii="Times New Roman" w:hAnsi="Times New Roman" w:cs="Times New Roman"/>
          <w:sz w:val="24"/>
        </w:rPr>
        <w:t xml:space="preserve"> </w:t>
      </w:r>
      <w:r w:rsidR="00BF1173" w:rsidRPr="00BF1173">
        <w:rPr>
          <w:rFonts w:ascii="Times New Roman" w:hAnsi="Times New Roman" w:cs="Times New Roman"/>
          <w:sz w:val="24"/>
        </w:rPr>
        <w:t>(Efron &amp; Tibshirani, 1994)</w:t>
      </w:r>
      <w:r w:rsidRPr="00503E3D">
        <w:rPr>
          <w:rFonts w:ascii="Times New Roman" w:hAnsi="Times New Roman" w:cs="Times New Roman"/>
          <w:sz w:val="24"/>
        </w:rPr>
        <w:t>.</w:t>
      </w:r>
    </w:p>
    <w:p w:rsidR="00503E3D" w:rsidRPr="008B6F3D" w:rsidRDefault="00C13908" w:rsidP="00193695">
      <w:pPr>
        <w:pStyle w:val="Heading1"/>
        <w:rPr>
          <w:b w:val="0"/>
        </w:rPr>
      </w:pPr>
      <w:r>
        <w:rPr>
          <w:rStyle w:val="Strong"/>
          <w:b/>
          <w:bCs w:val="0"/>
        </w:rPr>
        <w:t xml:space="preserve">3. </w:t>
      </w:r>
      <w:r w:rsidR="00503E3D" w:rsidRPr="008B6F3D">
        <w:rPr>
          <w:rStyle w:val="Strong"/>
          <w:b/>
          <w:bCs w:val="0"/>
        </w:rPr>
        <w:t>RESULTS</w:t>
      </w:r>
    </w:p>
    <w:p w:rsidR="00B5435E" w:rsidRDefault="00B5435E" w:rsidP="008B6F3D">
      <w:pPr>
        <w:pStyle w:val="Heading2"/>
      </w:pPr>
      <w:r>
        <w:rPr>
          <w:rStyle w:val="token"/>
          <w:rFonts w:eastAsiaTheme="majorEastAsia"/>
        </w:rPr>
        <w:t>3.1 Model Performance</w:t>
      </w:r>
    </w:p>
    <w:p w:rsidR="00B5435E" w:rsidRPr="00B5435E" w:rsidRDefault="00B5435E" w:rsidP="0095366C">
      <w:pPr>
        <w:pStyle w:val="HTMLPreformatted"/>
        <w:spacing w:line="360" w:lineRule="auto"/>
        <w:jc w:val="both"/>
        <w:rPr>
          <w:rFonts w:ascii="Times New Roman" w:hAnsi="Times New Roman" w:cs="Times New Roman"/>
          <w:sz w:val="24"/>
        </w:rPr>
      </w:pPr>
      <w:r w:rsidRPr="00B5435E">
        <w:rPr>
          <w:rFonts w:ascii="Times New Roman" w:hAnsi="Times New Roman" w:cs="Times New Roman"/>
          <w:sz w:val="24"/>
        </w:rPr>
        <w:t>The proposed DenseNet121-based model achieved excellent performance for pulmonary edema detection. Figure 1 shows the ROC curve with an AUC of 0.917 (95% CI: 0.89-0.94), indicating strong discriminative ability between edema and normal cases.</w:t>
      </w:r>
    </w:p>
    <w:p w:rsidR="008B6F3D" w:rsidRDefault="008B6F3D" w:rsidP="008B6F3D">
      <w:pPr>
        <w:pStyle w:val="Heading2"/>
        <w:sectPr w:rsidR="008B6F3D" w:rsidSect="008B6F3D">
          <w:type w:val="continuous"/>
          <w:pgSz w:w="11909" w:h="16834" w:code="9"/>
          <w:pgMar w:top="1440" w:right="1440" w:bottom="1440" w:left="1440" w:header="720" w:footer="720" w:gutter="0"/>
          <w:cols w:num="2" w:space="720"/>
          <w:docGrid w:linePitch="360"/>
        </w:sectPr>
      </w:pPr>
    </w:p>
    <w:p w:rsidR="00FB1B35" w:rsidRDefault="00B5435E" w:rsidP="007F4B7B">
      <w:pPr>
        <w:pStyle w:val="Heading2"/>
      </w:pPr>
      <w:r>
        <w:rPr>
          <w:noProof/>
        </w:rPr>
        <w:drawing>
          <wp:inline distT="0" distB="0" distL="0" distR="0">
            <wp:extent cx="5733415" cy="4528185"/>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c_curv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4528185"/>
                    </a:xfrm>
                    <a:prstGeom prst="rect">
                      <a:avLst/>
                    </a:prstGeom>
                  </pic:spPr>
                </pic:pic>
              </a:graphicData>
            </a:graphic>
          </wp:inline>
        </w:drawing>
      </w:r>
    </w:p>
    <w:p w:rsidR="00503E3D" w:rsidRPr="00FB1B35" w:rsidRDefault="00FB1B35" w:rsidP="00BF1173">
      <w:pPr>
        <w:pStyle w:val="Caption"/>
        <w:spacing w:line="360" w:lineRule="auto"/>
        <w:jc w:val="center"/>
        <w:rPr>
          <w:color w:val="auto"/>
        </w:rPr>
      </w:pPr>
      <w:r w:rsidRPr="00FB1B35">
        <w:rPr>
          <w:color w:val="auto"/>
        </w:rPr>
        <w:t xml:space="preserve">Figure </w:t>
      </w:r>
      <w:r w:rsidRPr="00FB1B35">
        <w:rPr>
          <w:color w:val="auto"/>
        </w:rPr>
        <w:fldChar w:fldCharType="begin"/>
      </w:r>
      <w:r w:rsidRPr="00FB1B35">
        <w:rPr>
          <w:color w:val="auto"/>
        </w:rPr>
        <w:instrText xml:space="preserve"> SEQ Figure \* ARABIC </w:instrText>
      </w:r>
      <w:r w:rsidRPr="00FB1B35">
        <w:rPr>
          <w:color w:val="auto"/>
        </w:rPr>
        <w:fldChar w:fldCharType="separate"/>
      </w:r>
      <w:r w:rsidR="000A3B3D">
        <w:rPr>
          <w:noProof/>
          <w:color w:val="auto"/>
        </w:rPr>
        <w:t>1</w:t>
      </w:r>
      <w:r w:rsidRPr="00FB1B35">
        <w:rPr>
          <w:color w:val="auto"/>
        </w:rPr>
        <w:fldChar w:fldCharType="end"/>
      </w:r>
      <w:r w:rsidRPr="00FB1B35">
        <w:rPr>
          <w:color w:val="auto"/>
        </w:rPr>
        <w:t xml:space="preserve"> : ROC Curve</w:t>
      </w:r>
    </w:p>
    <w:p w:rsidR="008B6F3D" w:rsidRDefault="008B6F3D" w:rsidP="008B6F3D">
      <w:pPr>
        <w:pStyle w:val="Heading2"/>
        <w:rPr>
          <w:rStyle w:val="token"/>
          <w:rFonts w:eastAsiaTheme="majorEastAsia"/>
        </w:rPr>
        <w:sectPr w:rsidR="008B6F3D" w:rsidSect="008B6F3D">
          <w:type w:val="continuous"/>
          <w:pgSz w:w="11909" w:h="16834" w:code="9"/>
          <w:pgMar w:top="1440" w:right="1440" w:bottom="1440" w:left="1440" w:header="720" w:footer="720" w:gutter="0"/>
          <w:cols w:space="720"/>
          <w:docGrid w:linePitch="360"/>
        </w:sectPr>
      </w:pPr>
    </w:p>
    <w:p w:rsidR="00FB1B35" w:rsidRDefault="00FB1B35" w:rsidP="008B6F3D">
      <w:pPr>
        <w:pStyle w:val="Heading2"/>
      </w:pPr>
      <w:r>
        <w:rPr>
          <w:rStyle w:val="token"/>
          <w:rFonts w:eastAsiaTheme="majorEastAsia"/>
        </w:rPr>
        <w:t>3.2 Classification Metrics</w:t>
      </w:r>
    </w:p>
    <w:p w:rsidR="00FB1B35" w:rsidRPr="00FB1B35" w:rsidRDefault="00FB1B35" w:rsidP="0095366C">
      <w:pPr>
        <w:pStyle w:val="HTMLPreformatted"/>
        <w:spacing w:line="360" w:lineRule="auto"/>
        <w:jc w:val="both"/>
        <w:rPr>
          <w:rFonts w:ascii="Times New Roman" w:hAnsi="Times New Roman" w:cs="Times New Roman"/>
          <w:sz w:val="24"/>
        </w:rPr>
      </w:pPr>
      <w:r w:rsidRPr="00FB1B35">
        <w:rPr>
          <w:rFonts w:ascii="Times New Roman" w:hAnsi="Times New Roman" w:cs="Times New Roman"/>
          <w:sz w:val="24"/>
        </w:rPr>
        <w:t xml:space="preserve">The confusion matrix (Figure 2) revealed 85% overall accuracy on the 200-image test </w:t>
      </w:r>
      <w:r w:rsidRPr="00FB1B35">
        <w:rPr>
          <w:rFonts w:ascii="Times New Roman" w:hAnsi="Times New Roman" w:cs="Times New Roman"/>
          <w:sz w:val="24"/>
        </w:rPr>
        <w:t>set, with 88 true negatives, 12 false positives, 18 false negatives, and 82 true positives. Calculated metrics include:</w:t>
      </w:r>
    </w:p>
    <w:p w:rsidR="00FB1B35" w:rsidRPr="00FB1B35" w:rsidRDefault="00FB1B35" w:rsidP="00BF1173">
      <w:pPr>
        <w:pStyle w:val="HTMLPreformatted"/>
        <w:numPr>
          <w:ilvl w:val="0"/>
          <w:numId w:val="7"/>
        </w:numPr>
        <w:spacing w:line="360" w:lineRule="auto"/>
        <w:rPr>
          <w:rFonts w:ascii="Times New Roman" w:hAnsi="Times New Roman" w:cs="Times New Roman"/>
          <w:sz w:val="24"/>
        </w:rPr>
      </w:pPr>
      <w:r w:rsidRPr="00FB1B35">
        <w:rPr>
          <w:rFonts w:ascii="Times New Roman" w:hAnsi="Times New Roman" w:cs="Times New Roman"/>
          <w:sz w:val="24"/>
        </w:rPr>
        <w:t>Sensitivity (Recall): 82.0%</w:t>
      </w:r>
    </w:p>
    <w:p w:rsidR="00FB1B35" w:rsidRPr="00FB1B35" w:rsidRDefault="00FB1B35" w:rsidP="00BF1173">
      <w:pPr>
        <w:pStyle w:val="HTMLPreformatted"/>
        <w:numPr>
          <w:ilvl w:val="0"/>
          <w:numId w:val="7"/>
        </w:numPr>
        <w:spacing w:line="360" w:lineRule="auto"/>
        <w:rPr>
          <w:rFonts w:ascii="Times New Roman" w:hAnsi="Times New Roman" w:cs="Times New Roman"/>
          <w:sz w:val="24"/>
        </w:rPr>
      </w:pPr>
      <w:r w:rsidRPr="00FB1B35">
        <w:rPr>
          <w:rFonts w:ascii="Times New Roman" w:hAnsi="Times New Roman" w:cs="Times New Roman"/>
          <w:sz w:val="24"/>
        </w:rPr>
        <w:lastRenderedPageBreak/>
        <w:t>Specificity: 88.0%</w:t>
      </w:r>
    </w:p>
    <w:p w:rsidR="00FB1B35" w:rsidRPr="00FB1B35" w:rsidRDefault="00FB1B35" w:rsidP="00BF1173">
      <w:pPr>
        <w:pStyle w:val="HTMLPreformatted"/>
        <w:numPr>
          <w:ilvl w:val="0"/>
          <w:numId w:val="7"/>
        </w:numPr>
        <w:spacing w:line="360" w:lineRule="auto"/>
        <w:rPr>
          <w:rFonts w:ascii="Times New Roman" w:hAnsi="Times New Roman" w:cs="Times New Roman"/>
          <w:sz w:val="24"/>
        </w:rPr>
      </w:pPr>
      <w:r w:rsidRPr="00FB1B35">
        <w:rPr>
          <w:rFonts w:ascii="Times New Roman" w:hAnsi="Times New Roman" w:cs="Times New Roman"/>
          <w:sz w:val="24"/>
        </w:rPr>
        <w:t>Precision: 87.2%</w:t>
      </w:r>
    </w:p>
    <w:p w:rsidR="008B6F3D" w:rsidRDefault="008B6F3D" w:rsidP="00BF1173">
      <w:pPr>
        <w:pStyle w:val="HTMLPreformatted"/>
        <w:keepNext/>
        <w:spacing w:line="360" w:lineRule="auto"/>
        <w:sectPr w:rsidR="008B6F3D" w:rsidSect="008B6F3D">
          <w:type w:val="continuous"/>
          <w:pgSz w:w="11909" w:h="16834" w:code="9"/>
          <w:pgMar w:top="1440" w:right="1440" w:bottom="1440" w:left="1440" w:header="720" w:footer="720" w:gutter="0"/>
          <w:cols w:num="2" w:space="720"/>
          <w:docGrid w:linePitch="360"/>
        </w:sectPr>
      </w:pPr>
    </w:p>
    <w:p w:rsidR="00FB1B35" w:rsidRDefault="00FB1B35" w:rsidP="00BF1173">
      <w:pPr>
        <w:pStyle w:val="HTMLPreformatted"/>
        <w:keepNext/>
        <w:spacing w:line="360" w:lineRule="auto"/>
      </w:pPr>
      <w:r>
        <w:rPr>
          <w:rFonts w:ascii="Times New Roman" w:hAnsi="Times New Roman" w:cs="Times New Roman"/>
          <w:noProof/>
          <w:sz w:val="24"/>
        </w:rPr>
        <w:drawing>
          <wp:inline distT="0" distB="0" distL="0" distR="0">
            <wp:extent cx="4620777" cy="4291593"/>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fusion_matri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0777" cy="4291593"/>
                    </a:xfrm>
                    <a:prstGeom prst="rect">
                      <a:avLst/>
                    </a:prstGeom>
                  </pic:spPr>
                </pic:pic>
              </a:graphicData>
            </a:graphic>
          </wp:inline>
        </w:drawing>
      </w:r>
    </w:p>
    <w:p w:rsidR="00FB1B35" w:rsidRPr="00FB1B35" w:rsidRDefault="00FB1B35" w:rsidP="00BF1173">
      <w:pPr>
        <w:pStyle w:val="Caption"/>
        <w:spacing w:line="360" w:lineRule="auto"/>
        <w:jc w:val="center"/>
        <w:rPr>
          <w:rFonts w:ascii="Times New Roman" w:hAnsi="Times New Roman" w:cs="Times New Roman"/>
          <w:color w:val="auto"/>
          <w:sz w:val="24"/>
        </w:rPr>
      </w:pPr>
      <w:r w:rsidRPr="00FB1B35">
        <w:rPr>
          <w:color w:val="auto"/>
        </w:rPr>
        <w:t xml:space="preserve">Figure </w:t>
      </w:r>
      <w:r w:rsidRPr="00FB1B35">
        <w:rPr>
          <w:color w:val="auto"/>
        </w:rPr>
        <w:fldChar w:fldCharType="begin"/>
      </w:r>
      <w:r w:rsidRPr="00FB1B35">
        <w:rPr>
          <w:color w:val="auto"/>
        </w:rPr>
        <w:instrText xml:space="preserve"> SEQ Figure \* ARABIC </w:instrText>
      </w:r>
      <w:r w:rsidRPr="00FB1B35">
        <w:rPr>
          <w:color w:val="auto"/>
        </w:rPr>
        <w:fldChar w:fldCharType="separate"/>
      </w:r>
      <w:r w:rsidR="000A3B3D">
        <w:rPr>
          <w:noProof/>
          <w:color w:val="auto"/>
        </w:rPr>
        <w:t>2</w:t>
      </w:r>
      <w:r w:rsidRPr="00FB1B35">
        <w:rPr>
          <w:color w:val="auto"/>
        </w:rPr>
        <w:fldChar w:fldCharType="end"/>
      </w:r>
      <w:r w:rsidRPr="00FB1B35">
        <w:rPr>
          <w:color w:val="auto"/>
        </w:rPr>
        <w:t xml:space="preserve"> : confusion matrix</w:t>
      </w:r>
    </w:p>
    <w:p w:rsidR="000A3B3D" w:rsidRPr="000A3B3D" w:rsidRDefault="000A3B3D" w:rsidP="00BF1173">
      <w:pPr>
        <w:pStyle w:val="Caption"/>
        <w:keepNext/>
        <w:spacing w:line="360" w:lineRule="auto"/>
        <w:rPr>
          <w:color w:val="auto"/>
          <w:sz w:val="22"/>
        </w:rPr>
      </w:pPr>
      <w:r w:rsidRPr="000A3B3D">
        <w:rPr>
          <w:color w:val="auto"/>
          <w:sz w:val="22"/>
        </w:rPr>
        <w:t xml:space="preserve">Table </w:t>
      </w:r>
      <w:r w:rsidRPr="000A3B3D">
        <w:rPr>
          <w:color w:val="auto"/>
          <w:sz w:val="22"/>
        </w:rPr>
        <w:fldChar w:fldCharType="begin"/>
      </w:r>
      <w:r w:rsidRPr="000A3B3D">
        <w:rPr>
          <w:color w:val="auto"/>
          <w:sz w:val="22"/>
        </w:rPr>
        <w:instrText xml:space="preserve"> SEQ Table \* ARABIC </w:instrText>
      </w:r>
      <w:r w:rsidRPr="000A3B3D">
        <w:rPr>
          <w:color w:val="auto"/>
          <w:sz w:val="22"/>
        </w:rPr>
        <w:fldChar w:fldCharType="separate"/>
      </w:r>
      <w:r w:rsidRPr="000A3B3D">
        <w:rPr>
          <w:noProof/>
          <w:color w:val="auto"/>
          <w:sz w:val="22"/>
        </w:rPr>
        <w:t>1</w:t>
      </w:r>
      <w:r w:rsidRPr="000A3B3D">
        <w:rPr>
          <w:color w:val="auto"/>
          <w:sz w:val="22"/>
        </w:rPr>
        <w:fldChar w:fldCharType="end"/>
      </w:r>
      <w:r w:rsidRPr="000A3B3D">
        <w:rPr>
          <w:color w:val="auto"/>
          <w:sz w:val="22"/>
        </w:rPr>
        <w:t xml:space="preserve"> :summarizes all performance metrics with 95% confidence intervals</w:t>
      </w:r>
    </w:p>
    <w:tbl>
      <w:tblPr>
        <w:tblStyle w:val="TableGrid"/>
        <w:tblW w:w="5000" w:type="pct"/>
        <w:tblLook w:val="04A0" w:firstRow="1" w:lastRow="0" w:firstColumn="1" w:lastColumn="0" w:noHBand="0" w:noVBand="1"/>
      </w:tblPr>
      <w:tblGrid>
        <w:gridCol w:w="2457"/>
        <w:gridCol w:w="1584"/>
        <w:gridCol w:w="4978"/>
      </w:tblGrid>
      <w:tr w:rsidR="00853524" w:rsidTr="00D57DA9">
        <w:tc>
          <w:tcPr>
            <w:tcW w:w="1362" w:type="pct"/>
          </w:tcPr>
          <w:p w:rsidR="00853524" w:rsidRPr="00D57DA9" w:rsidRDefault="00853524" w:rsidP="00BF1173">
            <w:pPr>
              <w:spacing w:line="360" w:lineRule="auto"/>
              <w:rPr>
                <w:rFonts w:ascii="Times New Roman" w:hAnsi="Times New Roman" w:cs="Times New Roman"/>
                <w:b/>
                <w:sz w:val="24"/>
              </w:rPr>
            </w:pPr>
            <w:r w:rsidRPr="00D57DA9">
              <w:rPr>
                <w:rFonts w:ascii="Times New Roman" w:hAnsi="Times New Roman" w:cs="Times New Roman"/>
                <w:b/>
                <w:sz w:val="24"/>
              </w:rPr>
              <w:t>Metric</w:t>
            </w:r>
          </w:p>
        </w:tc>
        <w:tc>
          <w:tcPr>
            <w:tcW w:w="878" w:type="pct"/>
          </w:tcPr>
          <w:p w:rsidR="00853524" w:rsidRPr="00D57DA9" w:rsidRDefault="00853524" w:rsidP="00BF1173">
            <w:pPr>
              <w:spacing w:line="360" w:lineRule="auto"/>
              <w:rPr>
                <w:rFonts w:ascii="Times New Roman" w:hAnsi="Times New Roman" w:cs="Times New Roman"/>
                <w:b/>
                <w:sz w:val="24"/>
              </w:rPr>
            </w:pPr>
            <w:r w:rsidRPr="00D57DA9">
              <w:rPr>
                <w:rFonts w:ascii="Times New Roman" w:hAnsi="Times New Roman" w:cs="Times New Roman"/>
                <w:b/>
                <w:sz w:val="24"/>
              </w:rPr>
              <w:t>Value</w:t>
            </w:r>
          </w:p>
        </w:tc>
        <w:tc>
          <w:tcPr>
            <w:tcW w:w="2760" w:type="pct"/>
          </w:tcPr>
          <w:p w:rsidR="00853524" w:rsidRPr="00D57DA9" w:rsidRDefault="00D57DA9" w:rsidP="00BF1173">
            <w:pPr>
              <w:spacing w:line="360" w:lineRule="auto"/>
              <w:jc w:val="center"/>
              <w:rPr>
                <w:rFonts w:ascii="Times New Roman" w:hAnsi="Times New Roman" w:cs="Times New Roman"/>
                <w:b/>
                <w:sz w:val="24"/>
              </w:rPr>
            </w:pPr>
            <w:r w:rsidRPr="00D57DA9">
              <w:rPr>
                <w:rFonts w:ascii="Times New Roman" w:hAnsi="Times New Roman" w:cs="Times New Roman"/>
                <w:b/>
                <w:sz w:val="24"/>
              </w:rPr>
              <w:t>95% Confidence I</w:t>
            </w:r>
            <w:r w:rsidR="00853524" w:rsidRPr="00D57DA9">
              <w:rPr>
                <w:rFonts w:ascii="Times New Roman" w:hAnsi="Times New Roman" w:cs="Times New Roman"/>
                <w:b/>
                <w:sz w:val="24"/>
              </w:rPr>
              <w:t>nterval</w:t>
            </w:r>
          </w:p>
        </w:tc>
      </w:tr>
      <w:tr w:rsidR="00853524" w:rsidTr="00D57DA9">
        <w:tc>
          <w:tcPr>
            <w:tcW w:w="1362" w:type="pct"/>
          </w:tcPr>
          <w:p w:rsidR="00853524" w:rsidRDefault="00D57DA9" w:rsidP="00BF1173">
            <w:pPr>
              <w:spacing w:line="360" w:lineRule="auto"/>
              <w:rPr>
                <w:rFonts w:ascii="Times New Roman" w:hAnsi="Times New Roman" w:cs="Times New Roman"/>
                <w:sz w:val="24"/>
              </w:rPr>
            </w:pPr>
            <w:r>
              <w:rPr>
                <w:rFonts w:ascii="Times New Roman" w:hAnsi="Times New Roman" w:cs="Times New Roman"/>
                <w:sz w:val="24"/>
              </w:rPr>
              <w:t>AUC-ROC</w:t>
            </w:r>
          </w:p>
        </w:tc>
        <w:tc>
          <w:tcPr>
            <w:tcW w:w="878" w:type="pct"/>
          </w:tcPr>
          <w:p w:rsidR="00853524" w:rsidRDefault="00853524" w:rsidP="00BF1173">
            <w:pPr>
              <w:spacing w:line="360" w:lineRule="auto"/>
              <w:rPr>
                <w:rFonts w:ascii="Times New Roman" w:hAnsi="Times New Roman" w:cs="Times New Roman"/>
                <w:sz w:val="24"/>
              </w:rPr>
            </w:pPr>
            <w:r>
              <w:rPr>
                <w:rFonts w:ascii="Times New Roman" w:hAnsi="Times New Roman" w:cs="Times New Roman"/>
                <w:sz w:val="24"/>
              </w:rPr>
              <w:t>0.917</w:t>
            </w:r>
          </w:p>
        </w:tc>
        <w:tc>
          <w:tcPr>
            <w:tcW w:w="2760" w:type="pct"/>
          </w:tcPr>
          <w:p w:rsidR="00853524" w:rsidRDefault="00D57DA9" w:rsidP="00BF1173">
            <w:pPr>
              <w:spacing w:line="360" w:lineRule="auto"/>
              <w:jc w:val="center"/>
              <w:rPr>
                <w:rFonts w:ascii="Times New Roman" w:hAnsi="Times New Roman" w:cs="Times New Roman"/>
                <w:sz w:val="24"/>
              </w:rPr>
            </w:pPr>
            <w:r>
              <w:rPr>
                <w:rFonts w:ascii="Times New Roman" w:hAnsi="Times New Roman" w:cs="Times New Roman"/>
                <w:sz w:val="24"/>
              </w:rPr>
              <w:t>0.89 – 0.94</w:t>
            </w:r>
          </w:p>
        </w:tc>
      </w:tr>
      <w:tr w:rsidR="00853524" w:rsidTr="00D57DA9">
        <w:tc>
          <w:tcPr>
            <w:tcW w:w="1362" w:type="pct"/>
          </w:tcPr>
          <w:p w:rsidR="00853524" w:rsidRDefault="00D57DA9" w:rsidP="00BF1173">
            <w:pPr>
              <w:spacing w:line="360" w:lineRule="auto"/>
              <w:rPr>
                <w:rFonts w:ascii="Times New Roman" w:hAnsi="Times New Roman" w:cs="Times New Roman"/>
                <w:sz w:val="24"/>
              </w:rPr>
            </w:pPr>
            <w:r>
              <w:rPr>
                <w:rFonts w:ascii="Times New Roman" w:hAnsi="Times New Roman" w:cs="Times New Roman"/>
                <w:sz w:val="24"/>
              </w:rPr>
              <w:t>Accuracy</w:t>
            </w:r>
          </w:p>
        </w:tc>
        <w:tc>
          <w:tcPr>
            <w:tcW w:w="878" w:type="pct"/>
          </w:tcPr>
          <w:p w:rsidR="00853524" w:rsidRDefault="00853524" w:rsidP="00BF1173">
            <w:pPr>
              <w:spacing w:line="360" w:lineRule="auto"/>
              <w:rPr>
                <w:rFonts w:ascii="Times New Roman" w:hAnsi="Times New Roman" w:cs="Times New Roman"/>
                <w:sz w:val="24"/>
              </w:rPr>
            </w:pPr>
            <w:r>
              <w:rPr>
                <w:rFonts w:ascii="Times New Roman" w:hAnsi="Times New Roman" w:cs="Times New Roman"/>
                <w:sz w:val="24"/>
              </w:rPr>
              <w:t>85.0%</w:t>
            </w:r>
          </w:p>
        </w:tc>
        <w:tc>
          <w:tcPr>
            <w:tcW w:w="2760" w:type="pct"/>
          </w:tcPr>
          <w:p w:rsidR="00853524" w:rsidRDefault="00D57DA9" w:rsidP="00BF1173">
            <w:pPr>
              <w:spacing w:line="360" w:lineRule="auto"/>
              <w:jc w:val="center"/>
              <w:rPr>
                <w:rFonts w:ascii="Times New Roman" w:hAnsi="Times New Roman" w:cs="Times New Roman"/>
                <w:sz w:val="24"/>
              </w:rPr>
            </w:pPr>
            <w:r>
              <w:rPr>
                <w:rFonts w:ascii="Times New Roman" w:hAnsi="Times New Roman" w:cs="Times New Roman"/>
                <w:sz w:val="24"/>
              </w:rPr>
              <w:t>79.5% - 89.5%</w:t>
            </w:r>
          </w:p>
        </w:tc>
      </w:tr>
      <w:tr w:rsidR="00853524" w:rsidTr="00D57DA9">
        <w:tc>
          <w:tcPr>
            <w:tcW w:w="1362" w:type="pct"/>
          </w:tcPr>
          <w:p w:rsidR="00853524" w:rsidRDefault="00D57DA9" w:rsidP="00BF1173">
            <w:pPr>
              <w:spacing w:line="360" w:lineRule="auto"/>
              <w:rPr>
                <w:rFonts w:ascii="Times New Roman" w:hAnsi="Times New Roman" w:cs="Times New Roman"/>
                <w:sz w:val="24"/>
              </w:rPr>
            </w:pPr>
            <w:r>
              <w:rPr>
                <w:rFonts w:ascii="Times New Roman" w:hAnsi="Times New Roman" w:cs="Times New Roman"/>
                <w:sz w:val="24"/>
              </w:rPr>
              <w:t>Sensitivity</w:t>
            </w:r>
          </w:p>
        </w:tc>
        <w:tc>
          <w:tcPr>
            <w:tcW w:w="878" w:type="pct"/>
          </w:tcPr>
          <w:p w:rsidR="00853524" w:rsidRDefault="00D57DA9" w:rsidP="00BF1173">
            <w:pPr>
              <w:spacing w:line="360" w:lineRule="auto"/>
              <w:rPr>
                <w:rFonts w:ascii="Times New Roman" w:hAnsi="Times New Roman" w:cs="Times New Roman"/>
                <w:sz w:val="24"/>
              </w:rPr>
            </w:pPr>
            <w:r>
              <w:rPr>
                <w:rFonts w:ascii="Times New Roman" w:hAnsi="Times New Roman" w:cs="Times New Roman"/>
                <w:sz w:val="24"/>
              </w:rPr>
              <w:t>82.0%</w:t>
            </w:r>
          </w:p>
        </w:tc>
        <w:tc>
          <w:tcPr>
            <w:tcW w:w="2760" w:type="pct"/>
          </w:tcPr>
          <w:p w:rsidR="00853524" w:rsidRDefault="00D57DA9" w:rsidP="00BF1173">
            <w:pPr>
              <w:spacing w:line="360" w:lineRule="auto"/>
              <w:jc w:val="center"/>
              <w:rPr>
                <w:rFonts w:ascii="Times New Roman" w:hAnsi="Times New Roman" w:cs="Times New Roman"/>
                <w:sz w:val="24"/>
              </w:rPr>
            </w:pPr>
            <w:r>
              <w:rPr>
                <w:rFonts w:ascii="Times New Roman" w:hAnsi="Times New Roman" w:cs="Times New Roman"/>
                <w:sz w:val="24"/>
              </w:rPr>
              <w:t>73.5% -88.5%</w:t>
            </w:r>
          </w:p>
        </w:tc>
      </w:tr>
      <w:tr w:rsidR="00853524" w:rsidTr="00D57DA9">
        <w:tc>
          <w:tcPr>
            <w:tcW w:w="1362" w:type="pct"/>
          </w:tcPr>
          <w:p w:rsidR="00853524" w:rsidRDefault="00D57DA9" w:rsidP="00BF1173">
            <w:pPr>
              <w:spacing w:line="360" w:lineRule="auto"/>
              <w:rPr>
                <w:rFonts w:ascii="Times New Roman" w:hAnsi="Times New Roman" w:cs="Times New Roman"/>
                <w:sz w:val="24"/>
              </w:rPr>
            </w:pPr>
            <w:r>
              <w:rPr>
                <w:rFonts w:ascii="Times New Roman" w:hAnsi="Times New Roman" w:cs="Times New Roman"/>
                <w:sz w:val="24"/>
              </w:rPr>
              <w:t>Specificity</w:t>
            </w:r>
          </w:p>
        </w:tc>
        <w:tc>
          <w:tcPr>
            <w:tcW w:w="878" w:type="pct"/>
          </w:tcPr>
          <w:p w:rsidR="00D57DA9" w:rsidRDefault="00D57DA9" w:rsidP="00BF1173">
            <w:pPr>
              <w:spacing w:line="360" w:lineRule="auto"/>
              <w:rPr>
                <w:rFonts w:ascii="Times New Roman" w:hAnsi="Times New Roman" w:cs="Times New Roman"/>
                <w:sz w:val="24"/>
              </w:rPr>
            </w:pPr>
            <w:r>
              <w:rPr>
                <w:rFonts w:ascii="Times New Roman" w:hAnsi="Times New Roman" w:cs="Times New Roman"/>
                <w:sz w:val="24"/>
              </w:rPr>
              <w:t>88.0%</w:t>
            </w:r>
          </w:p>
        </w:tc>
        <w:tc>
          <w:tcPr>
            <w:tcW w:w="2760" w:type="pct"/>
          </w:tcPr>
          <w:p w:rsidR="00853524" w:rsidRDefault="00D57DA9" w:rsidP="00BF1173">
            <w:pPr>
              <w:spacing w:line="360" w:lineRule="auto"/>
              <w:jc w:val="center"/>
              <w:rPr>
                <w:rFonts w:ascii="Times New Roman" w:hAnsi="Times New Roman" w:cs="Times New Roman"/>
                <w:sz w:val="24"/>
              </w:rPr>
            </w:pPr>
            <w:r>
              <w:rPr>
                <w:rFonts w:ascii="Times New Roman" w:hAnsi="Times New Roman" w:cs="Times New Roman"/>
                <w:sz w:val="24"/>
              </w:rPr>
              <w:t>80.5% - 93.5%</w:t>
            </w:r>
          </w:p>
        </w:tc>
      </w:tr>
      <w:tr w:rsidR="00853524" w:rsidTr="00D57DA9">
        <w:tc>
          <w:tcPr>
            <w:tcW w:w="1362" w:type="pct"/>
          </w:tcPr>
          <w:p w:rsidR="00853524" w:rsidRDefault="00D57DA9" w:rsidP="00BF1173">
            <w:pPr>
              <w:spacing w:line="360" w:lineRule="auto"/>
              <w:rPr>
                <w:rFonts w:ascii="Times New Roman" w:hAnsi="Times New Roman" w:cs="Times New Roman"/>
                <w:sz w:val="24"/>
              </w:rPr>
            </w:pPr>
            <w:r>
              <w:rPr>
                <w:rFonts w:ascii="Times New Roman" w:hAnsi="Times New Roman" w:cs="Times New Roman"/>
                <w:sz w:val="24"/>
              </w:rPr>
              <w:t>Precision</w:t>
            </w:r>
          </w:p>
        </w:tc>
        <w:tc>
          <w:tcPr>
            <w:tcW w:w="878" w:type="pct"/>
          </w:tcPr>
          <w:p w:rsidR="00853524" w:rsidRDefault="00D57DA9" w:rsidP="00BF1173">
            <w:pPr>
              <w:spacing w:line="360" w:lineRule="auto"/>
              <w:rPr>
                <w:rFonts w:ascii="Times New Roman" w:hAnsi="Times New Roman" w:cs="Times New Roman"/>
                <w:sz w:val="24"/>
              </w:rPr>
            </w:pPr>
            <w:r>
              <w:rPr>
                <w:rFonts w:ascii="Times New Roman" w:hAnsi="Times New Roman" w:cs="Times New Roman"/>
                <w:sz w:val="24"/>
              </w:rPr>
              <w:t>87.2%</w:t>
            </w:r>
          </w:p>
        </w:tc>
        <w:tc>
          <w:tcPr>
            <w:tcW w:w="2760" w:type="pct"/>
          </w:tcPr>
          <w:p w:rsidR="00853524" w:rsidRDefault="00D57DA9" w:rsidP="00BF1173">
            <w:pPr>
              <w:spacing w:line="360" w:lineRule="auto"/>
              <w:jc w:val="center"/>
              <w:rPr>
                <w:rFonts w:ascii="Times New Roman" w:hAnsi="Times New Roman" w:cs="Times New Roman"/>
                <w:sz w:val="24"/>
              </w:rPr>
            </w:pPr>
            <w:r>
              <w:rPr>
                <w:rFonts w:ascii="Times New Roman" w:hAnsi="Times New Roman" w:cs="Times New Roman"/>
                <w:sz w:val="24"/>
              </w:rPr>
              <w:t>79.5% - 92.5%</w:t>
            </w:r>
          </w:p>
        </w:tc>
      </w:tr>
    </w:tbl>
    <w:p w:rsidR="008B6F3D" w:rsidRDefault="008B6F3D" w:rsidP="008B6F3D">
      <w:pPr>
        <w:pStyle w:val="Heading2"/>
        <w:rPr>
          <w:rStyle w:val="token"/>
          <w:rFonts w:eastAsiaTheme="majorEastAsia"/>
        </w:rPr>
        <w:sectPr w:rsidR="008B6F3D" w:rsidSect="008B6F3D">
          <w:type w:val="continuous"/>
          <w:pgSz w:w="11909" w:h="16834" w:code="9"/>
          <w:pgMar w:top="1440" w:right="1440" w:bottom="1440" w:left="1440" w:header="720" w:footer="720" w:gutter="0"/>
          <w:cols w:space="720"/>
          <w:docGrid w:linePitch="360"/>
        </w:sectPr>
      </w:pPr>
    </w:p>
    <w:p w:rsidR="000A3B3D" w:rsidRDefault="000A3B3D" w:rsidP="008B6F3D">
      <w:pPr>
        <w:pStyle w:val="Heading2"/>
      </w:pPr>
      <w:r>
        <w:rPr>
          <w:rStyle w:val="token"/>
          <w:rFonts w:eastAsiaTheme="majorEastAsia"/>
        </w:rPr>
        <w:t>3.3 Training Analysis</w:t>
      </w:r>
    </w:p>
    <w:p w:rsidR="000A3B3D" w:rsidRPr="000A3B3D" w:rsidRDefault="000A3B3D" w:rsidP="0095366C">
      <w:pPr>
        <w:pStyle w:val="HTMLPreformatted"/>
        <w:spacing w:line="360" w:lineRule="auto"/>
        <w:jc w:val="both"/>
        <w:rPr>
          <w:rFonts w:ascii="Times New Roman" w:hAnsi="Times New Roman" w:cs="Times New Roman"/>
          <w:sz w:val="24"/>
        </w:rPr>
      </w:pPr>
      <w:r w:rsidRPr="000A3B3D">
        <w:rPr>
          <w:rFonts w:ascii="Times New Roman" w:hAnsi="Times New Roman" w:cs="Times New Roman"/>
          <w:sz w:val="24"/>
        </w:rPr>
        <w:t xml:space="preserve">Training curves over 40 epochs (Figure 3) demonstrate successful model learning. Validation loss decreased from 0.63 to </w:t>
      </w:r>
      <w:r w:rsidRPr="000A3B3D">
        <w:rPr>
          <w:rFonts w:ascii="Times New Roman" w:hAnsi="Times New Roman" w:cs="Times New Roman"/>
          <w:sz w:val="24"/>
        </w:rPr>
        <w:t>0.38, while validation AUC increased from 0.77 to a peak of 0.917 at epoch 39. The close alignment between training and validation curves indicates no significant overfitting</w:t>
      </w:r>
      <w:r w:rsidR="00061635">
        <w:rPr>
          <w:rFonts w:ascii="Times New Roman" w:hAnsi="Times New Roman" w:cs="Times New Roman"/>
          <w:sz w:val="24"/>
        </w:rPr>
        <w:t xml:space="preserve">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{"citationItems":[{"id":"ITEM-1","itemData":{"DOI":"10.1088/1742-6596/1168/2/022022","ISSN":"1742-6596","abstract":"Overfitting is a fundamental issue in supervised machine learning which prevents us from perfectly generalizing the models to well fit observed data on training data, as well as unseen data on testing set. Because of the presence of noise, the limited size of training set, and the complexity of classifiers, overfitting happens. This paper is going to talk about overfitting from the perspectives of causes and solutions. To reduce the effects of overfitting, various strategies are proposed to address to these causes: 1) \"early-stopping\" strategy is introduced to prevent overfitting by stopping training before the performance stops optimize; 2) \"network-reduction\" strategy is used to exclude the noises in training set; 3) \"data-expansion\" strategy is proposed for complicated models to fine-tune the hyper-parameters sets with a great amount of data; and 4) \"regularization\" strategy is proposed to guarantee models performance to a great extent while dealing with real world issues by feature-selection, and by distinguishing more useful and less useful features.","author":[{"dropping-particle":"","family":"Decuyper","given":"Milan","non-dropping-particle":"","parse-names":false,"suffix":""},{"dropping-particle":"","family":"Stockhoff","given":"Mariele","non-dropping-particle":"","parse-names":false,"suffix":""},{"dropping-particle":"","family":"Vandenberghe","given":"Stefaan","non-dropping-particle":"","parse-names":false,"suffix":""},{"dropping-particle":"","family":"Ying","given":"Xue","non-dropping-particle":"","parse-names":false,"suffix":""}],"container-title":"Journal of Physics: Conference Series","id":"ITEM-1","issue":"2","issued":{"date-parts":[["2019","2","1"]]},"page":"022022","publisher":"IOP Publishing","title":"An Overview of Overfitting and its Solutions","type":"article-journal","volume":"1168"},"uris":["http://www.mendeley.com/documents/?uuid=52ec3bc6-2616-3a56-9752-cd775bed6d1e"]}],"mendeley":{"formattedCitation":"(Decuyper et al., 2019)","plainTextFormattedCitation":"(Decuyper et al., 2019)","previouslyFormattedCitation":"(Decuyper et al., 2019)"},"properties":{"noteIndex":0},"schema":"https://github.com/citation-style-language/schema/raw/master/csl-citation.json"}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(Decuyper et al., 2019)</w:t>
      </w:r>
      <w:r w:rsidR="00AC279C">
        <w:rPr>
          <w:rFonts w:ascii="Times New Roman" w:hAnsi="Times New Roman" w:cs="Times New Roman"/>
          <w:sz w:val="24"/>
        </w:rPr>
        <w:fldChar w:fldCharType="end"/>
      </w:r>
      <w:r w:rsidR="00AC279C">
        <w:rPr>
          <w:rFonts w:ascii="Times New Roman" w:hAnsi="Times New Roman" w:cs="Times New Roman"/>
          <w:sz w:val="24"/>
        </w:rPr>
        <w:t>.</w:t>
      </w:r>
    </w:p>
    <w:p w:rsidR="008B6F3D" w:rsidRDefault="008B6F3D" w:rsidP="00BF1173">
      <w:pPr>
        <w:keepNext/>
        <w:spacing w:line="360" w:lineRule="auto"/>
        <w:sectPr w:rsidR="008B6F3D" w:rsidSect="008B6F3D">
          <w:type w:val="continuous"/>
          <w:pgSz w:w="11909" w:h="16834" w:code="9"/>
          <w:pgMar w:top="1440" w:right="1440" w:bottom="1440" w:left="1440" w:header="720" w:footer="720" w:gutter="0"/>
          <w:cols w:num="2" w:space="720"/>
          <w:docGrid w:linePitch="360"/>
        </w:sectPr>
      </w:pPr>
    </w:p>
    <w:p w:rsidR="000A3B3D" w:rsidRDefault="000A3B3D" w:rsidP="00BF1173">
      <w:pPr>
        <w:keepNext/>
        <w:spacing w:line="360" w:lineRule="auto"/>
      </w:pPr>
      <w:r>
        <w:rPr>
          <w:rFonts w:ascii="Times New Roman" w:hAnsi="Times New Roman" w:cs="Times New Roman"/>
          <w:noProof/>
          <w:sz w:val="24"/>
        </w:rPr>
        <w:lastRenderedPageBreak/>
        <w:drawing>
          <wp:inline distT="0" distB="0" distL="0" distR="0">
            <wp:extent cx="5733415" cy="187261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ining_curve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1872615"/>
                    </a:xfrm>
                    <a:prstGeom prst="rect">
                      <a:avLst/>
                    </a:prstGeom>
                  </pic:spPr>
                </pic:pic>
              </a:graphicData>
            </a:graphic>
          </wp:inline>
        </w:drawing>
      </w:r>
    </w:p>
    <w:p w:rsidR="008616B1" w:rsidRPr="008B6F3D" w:rsidRDefault="000A3B3D" w:rsidP="008B6F3D">
      <w:pPr>
        <w:pStyle w:val="Caption"/>
        <w:spacing w:line="360" w:lineRule="auto"/>
        <w:jc w:val="center"/>
        <w:rPr>
          <w:rFonts w:ascii="Times New Roman" w:hAnsi="Times New Roman" w:cs="Times New Roman"/>
          <w:color w:val="auto"/>
          <w:sz w:val="24"/>
        </w:rPr>
      </w:pPr>
      <w:r w:rsidRPr="000A3B3D">
        <w:rPr>
          <w:color w:val="auto"/>
        </w:rPr>
        <w:t xml:space="preserve">Figure </w:t>
      </w:r>
      <w:r w:rsidRPr="000A3B3D">
        <w:rPr>
          <w:color w:val="auto"/>
        </w:rPr>
        <w:fldChar w:fldCharType="begin"/>
      </w:r>
      <w:r w:rsidRPr="000A3B3D">
        <w:rPr>
          <w:color w:val="auto"/>
        </w:rPr>
        <w:instrText xml:space="preserve"> SEQ Figure \* ARABIC </w:instrText>
      </w:r>
      <w:r w:rsidRPr="000A3B3D">
        <w:rPr>
          <w:color w:val="auto"/>
        </w:rPr>
        <w:fldChar w:fldCharType="separate"/>
      </w:r>
      <w:r w:rsidRPr="000A3B3D">
        <w:rPr>
          <w:noProof/>
          <w:color w:val="auto"/>
        </w:rPr>
        <w:t>3</w:t>
      </w:r>
      <w:r w:rsidRPr="000A3B3D">
        <w:rPr>
          <w:color w:val="auto"/>
        </w:rPr>
        <w:fldChar w:fldCharType="end"/>
      </w:r>
      <w:r w:rsidRPr="000A3B3D">
        <w:rPr>
          <w:color w:val="auto"/>
        </w:rPr>
        <w:t xml:space="preserve"> : Training Curves</w:t>
      </w:r>
    </w:p>
    <w:p w:rsidR="008B6F3D" w:rsidRDefault="008B6F3D" w:rsidP="008B6F3D">
      <w:pPr>
        <w:pStyle w:val="Heading2"/>
        <w:rPr>
          <w:rStyle w:val="token"/>
          <w:rFonts w:eastAsiaTheme="majorEastAsia"/>
        </w:rPr>
        <w:sectPr w:rsidR="008B6F3D" w:rsidSect="008B6F3D">
          <w:type w:val="continuous"/>
          <w:pgSz w:w="11909" w:h="16834" w:code="9"/>
          <w:pgMar w:top="1440" w:right="1440" w:bottom="1440" w:left="1440" w:header="720" w:footer="720" w:gutter="0"/>
          <w:cols w:space="720"/>
          <w:docGrid w:linePitch="360"/>
        </w:sectPr>
      </w:pPr>
    </w:p>
    <w:p w:rsidR="000A3B3D" w:rsidRDefault="000A3B3D" w:rsidP="008B6F3D">
      <w:pPr>
        <w:pStyle w:val="Heading2"/>
      </w:pPr>
      <w:r>
        <w:rPr>
          <w:rStyle w:val="token"/>
          <w:rFonts w:eastAsiaTheme="majorEastAsia"/>
        </w:rPr>
        <w:t>3.4 Explainability Analysis</w:t>
      </w:r>
    </w:p>
    <w:p w:rsidR="000A3B3D" w:rsidRPr="000A3B3D" w:rsidRDefault="000A3B3D" w:rsidP="0095366C">
      <w:pPr>
        <w:pStyle w:val="HTMLPreformatted"/>
        <w:spacing w:line="360" w:lineRule="auto"/>
        <w:jc w:val="both"/>
        <w:rPr>
          <w:rFonts w:ascii="Times New Roman" w:hAnsi="Times New Roman" w:cs="Times New Roman"/>
          <w:sz w:val="24"/>
        </w:rPr>
      </w:pPr>
      <w:r w:rsidRPr="000A3B3D">
        <w:rPr>
          <w:rFonts w:ascii="Times New Roman" w:hAnsi="Times New Roman" w:cs="Times New Roman"/>
          <w:sz w:val="24"/>
        </w:rPr>
        <w:t>Grad-CAM attention maps (Figure 4) revealed distinct patterns between edema and nor</w:t>
      </w:r>
      <w:bookmarkStart w:id="0" w:name="_GoBack"/>
      <w:bookmarkEnd w:id="0"/>
      <w:r w:rsidRPr="000A3B3D">
        <w:rPr>
          <w:rFonts w:ascii="Times New Roman" w:hAnsi="Times New Roman" w:cs="Times New Roman"/>
          <w:sz w:val="24"/>
        </w:rPr>
        <w:t xml:space="preserve">mal cases. For edema cases (top row), the model focused on perihilar and interstitial lung regions, </w:t>
      </w:r>
      <w:r w:rsidR="00061635">
        <w:rPr>
          <w:rFonts w:ascii="Times New Roman" w:hAnsi="Times New Roman" w:cs="Times New Roman"/>
          <w:sz w:val="24"/>
        </w:rPr>
        <w:t xml:space="preserve">which is </w:t>
      </w:r>
      <w:r w:rsidRPr="000A3B3D">
        <w:rPr>
          <w:rFonts w:ascii="Times New Roman" w:hAnsi="Times New Roman" w:cs="Times New Roman"/>
          <w:sz w:val="24"/>
        </w:rPr>
        <w:t xml:space="preserve">consistent </w:t>
      </w:r>
      <w:r w:rsidRPr="000A3B3D">
        <w:rPr>
          <w:rFonts w:ascii="Times New Roman" w:hAnsi="Times New Roman" w:cs="Times New Roman"/>
          <w:sz w:val="24"/>
        </w:rPr>
        <w:t>with radiological findings of pulmonary edema</w:t>
      </w:r>
      <w:r w:rsidR="00061635">
        <w:rPr>
          <w:rFonts w:ascii="Times New Roman" w:hAnsi="Times New Roman" w:cs="Times New Roman"/>
          <w:sz w:val="24"/>
        </w:rPr>
        <w:t xml:space="preserve">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{"citationItems":[{"id":"ITEM-1","itemData":{"DOI":"10.2214/AJR.144.5.879","ISBN":"196.43.77.188","ISSN":"0361803X","PMID":"3872571","abstract":"Improvement in the ability to determine the specific cause of any given case of pulmonary edema would lead to more rapid and definitive treatment. \"Wedge\" pressures and measurements of cardiac outp...","author":[{"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container-title":"https://www.ajronline.org/","id":"ITEM-1","issue":"5","issued":{"date-parts":[["2012","11","23"]]},"page":"879-894","publisher":"American Roentgen Ray Society","title":"The radiologic distinction of cardiogenic and noncardiogenic edema","type":"article-journal","volume":"144"},"uris":["http://www.mendeley.com/documents/?uuid=e2ea7f9f-d5dd-338f-8cb4-83f38dd7cc54"]}],"mendeley":{"formattedCitation":"(Milne et al., 2012)","plainTextFormattedCitation":"(Milne et al., 2012)","previouslyFormattedCitation":"(Milne et al., 2012)"},"properties":{"noteIndex":0},"schema":"https://github.com/citation-style-language/schema/raw/master/csl-citation.json"}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(Milne et al., 2012)</w:t>
      </w:r>
      <w:r w:rsidR="00AC279C">
        <w:rPr>
          <w:rFonts w:ascii="Times New Roman" w:hAnsi="Times New Roman" w:cs="Times New Roman"/>
          <w:sz w:val="24"/>
        </w:rPr>
        <w:fldChar w:fldCharType="end"/>
      </w:r>
      <w:r w:rsidRPr="000A3B3D">
        <w:rPr>
          <w:rFonts w:ascii="Times New Roman" w:hAnsi="Times New Roman" w:cs="Times New Roman"/>
          <w:sz w:val="24"/>
        </w:rPr>
        <w:t>. For normal cases (bottom row), attention was diffusely distributed across normal anatomical structures</w:t>
      </w:r>
      <w:r w:rsidR="00061635">
        <w:rPr>
          <w:rFonts w:ascii="Times New Roman" w:hAnsi="Times New Roman" w:cs="Times New Roman"/>
          <w:sz w:val="24"/>
        </w:rPr>
        <w:t xml:space="preserve"> without focal concentration</w:t>
      </w:r>
      <w:r w:rsidRPr="000A3B3D">
        <w:rPr>
          <w:rFonts w:ascii="Times New Roman" w:hAnsi="Times New Roman" w:cs="Times New Roman"/>
          <w:sz w:val="24"/>
        </w:rPr>
        <w:t xml:space="preserve">. Confidence scores </w:t>
      </w:r>
      <w:r w:rsidR="00061635">
        <w:rPr>
          <w:rFonts w:ascii="Times New Roman" w:hAnsi="Times New Roman" w:cs="Times New Roman"/>
          <w:sz w:val="24"/>
        </w:rPr>
        <w:t>for correctly classified cases ranged from 61.0% to 92.5</w:t>
      </w:r>
      <w:r w:rsidRPr="000A3B3D">
        <w:rPr>
          <w:rFonts w:ascii="Times New Roman" w:hAnsi="Times New Roman" w:cs="Times New Roman"/>
          <w:sz w:val="24"/>
        </w:rPr>
        <w:t>%.</w:t>
      </w:r>
    </w:p>
    <w:p w:rsidR="008B6F3D" w:rsidRDefault="008B6F3D" w:rsidP="00BF1173">
      <w:pPr>
        <w:spacing w:line="360" w:lineRule="auto"/>
        <w:sectPr w:rsidR="008B6F3D" w:rsidSect="008B6F3D">
          <w:type w:val="continuous"/>
          <w:pgSz w:w="11909" w:h="16834" w:code="9"/>
          <w:pgMar w:top="1440" w:right="1440" w:bottom="1440" w:left="1440" w:header="720" w:footer="720" w:gutter="0"/>
          <w:cols w:num="2" w:space="720"/>
          <w:docGrid w:linePitch="360"/>
        </w:sectPr>
      </w:pPr>
    </w:p>
    <w:p w:rsidR="008616B1" w:rsidRPr="00C13908" w:rsidRDefault="000A3B3D" w:rsidP="00C13908">
      <w:pPr>
        <w:spacing w:line="360" w:lineRule="auto"/>
      </w:pPr>
      <w:r>
        <w:rPr>
          <w:noProof/>
        </w:rPr>
        <w:drawing>
          <wp:inline distT="0" distB="0" distL="0" distR="0">
            <wp:extent cx="5733415" cy="3599180"/>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ttention_maps_fixe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599180"/>
                    </a:xfrm>
                    <a:prstGeom prst="rect">
                      <a:avLst/>
                    </a:prstGeom>
                  </pic:spPr>
                </pic:pic>
              </a:graphicData>
            </a:graphic>
          </wp:inline>
        </w:drawing>
      </w:r>
    </w:p>
    <w:p w:rsidR="00C13908" w:rsidRDefault="00C13908" w:rsidP="008B6F3D">
      <w:pPr>
        <w:pStyle w:val="Heading2"/>
        <w:rPr>
          <w:rFonts w:eastAsiaTheme="majorEastAsia"/>
        </w:rPr>
        <w:sectPr w:rsidR="00C13908" w:rsidSect="008B6F3D">
          <w:type w:val="continuous"/>
          <w:pgSz w:w="11909" w:h="16834" w:code="9"/>
          <w:pgMar w:top="1440" w:right="1440" w:bottom="1440" w:left="1440" w:header="720" w:footer="720" w:gutter="0"/>
          <w:cols w:space="720"/>
          <w:docGrid w:linePitch="360"/>
        </w:sectPr>
      </w:pPr>
    </w:p>
    <w:p w:rsidR="001C6EB4" w:rsidRPr="001C6EB4" w:rsidRDefault="001C6EB4" w:rsidP="008B6F3D">
      <w:pPr>
        <w:pStyle w:val="Heading2"/>
        <w:rPr>
          <w:rFonts w:eastAsiaTheme="majorEastAsia"/>
        </w:rPr>
      </w:pPr>
      <w:r w:rsidRPr="001C6EB4">
        <w:rPr>
          <w:rFonts w:eastAsiaTheme="majorEastAsia"/>
        </w:rPr>
        <w:t>4. DISCUSSION</w:t>
      </w:r>
    </w:p>
    <w:p w:rsidR="001C6EB4" w:rsidRPr="001C6EB4" w:rsidRDefault="001C6EB4" w:rsidP="008B6F3D">
      <w:pPr>
        <w:pStyle w:val="Heading2"/>
        <w:rPr>
          <w:rFonts w:eastAsiaTheme="majorEastAsia"/>
        </w:rPr>
      </w:pPr>
      <w:r w:rsidRPr="001C6EB4">
        <w:rPr>
          <w:rFonts w:eastAsiaTheme="majorEastAsia"/>
        </w:rPr>
        <w:t>4.1 Principal Findings</w:t>
      </w:r>
    </w:p>
    <w:p w:rsidR="001C6EB4" w:rsidRPr="001C6EB4" w:rsidRDefault="001C6EB4" w:rsidP="00953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1C6EB4">
        <w:rPr>
          <w:rFonts w:ascii="Times New Roman" w:eastAsia="Times New Roman" w:hAnsi="Times New Roman" w:cs="Times New Roman"/>
          <w:sz w:val="24"/>
          <w:szCs w:val="24"/>
        </w:rPr>
        <w:t xml:space="preserve">We developed an explainable deep learning model for pulmonary edema detection achieving an AUC of 0.917, accuracy of </w:t>
      </w:r>
      <w:r w:rsidRPr="001C6EB4">
        <w:rPr>
          <w:rFonts w:ascii="Times New Roman" w:eastAsia="Times New Roman" w:hAnsi="Times New Roman" w:cs="Times New Roman"/>
          <w:sz w:val="24"/>
          <w:szCs w:val="24"/>
        </w:rPr>
        <w:lastRenderedPageBreak/>
        <w:t xml:space="preserve">85.0%, sensitivity of 82.0%, and specificity of 88.0%. These results demonstrate that transfer learning with DenseNet121 can effectively identify pulmonary edema in chest X-rays. Critically, Grad-CAM visualizations provide clinically interpretable attention maps, addressing the "black box" limitation of traditional deep learning models </w:t>
      </w:r>
      <w:r w:rsidR="005A46D7">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{"citationItems":[{"id":"ITEM-1","itemData":{"DOI":"10.1109/JPROC.2021.3060483","ISSN":"15582256","abstract":"With the broader and highly successful usage of machine learning (ML) in industry and the sciences, there has been a growing demand for explainable artificial intelligence (XAI). Interpretability and explanation methods for gaining a better understanding of the problem-solving abilities and strategies of nonlinear ML, in particular, deep neural networks, are, therefore, receiving increased attention. In this work, we aim to: 1) provide a timely overview of this active emerging field, with a focus on 'post hoc' explanations, and explain its theoretical foundations; 2) put interpretability algorithms to a test both from a theory and comparative evaluation perspective using extensive simulations; 3) outline best practice aspects, i.e., how to best include interpretation methods into the standard usage of ML; and 4) demonstrate successful usage of XAI in a representative selection of application scenarios. Finally, we discuss challenges and possible future directions of this exciting foundational field of ML.","author":[{"dropping-particle":"","family":"Samek","given":"Wojciech","non-dropping-particle":"","parse-names":false,"suffix":""},{"dropping-particle":"","family":"Montavon","given":"Grégoire","non-dropping-particle":"","parse-names":false,"suffix":""},{"dropping-particle":"","family":"Lapuschkin","given":"Sebastian","non-dropping-particle":"","parse-names":false,"suffix":""},{"dropping-particle":"","family":"Anders","given":"Christopher J.","non-dropping-particle":"","parse-names":false,"suffix":""},{"dropping-particle":"","family":"Müller","given":"Klaus Robert","non-dropping-particle":"","parse-names":false,"suffix":""}],"container-title":"Proceedings of the IEEE","id":"ITEM-1","issue":"3","issued":{"date-parts":[["2021","3","1"]]},"page":"247-278","publisher":"Institute of Electrical and Electronics Engineers Inc.","title":"Explaining Deep Neural Networks and Beyond: A Review of Methods and Applications","type":"article-journal","volume":"109"},"uris":["http://www.mendeley.com/documents/?uuid=6aec0f67-c44c-34d5-a723-ee21df1d0b3c"]},{"id":"ITEM-2","itemData":{"DOI":"10.1016/J.MEDIA.2022.102470","ISSN":"1361-8415","PMID":"35576821","abstract":"With an increase in deep learning-based methods, the call for explainability of such methods grows, especially in high-stakes decision making areas such as medical image analysis. This survey presents an overview of explainable artificial intelligence (XAI) used in deep learning-based medical image analysis. A framework of XAI criteria is introduced to classify deep learning-based medical image analysis methods. Papers on XAI techniques in medical image analysis are then surveyed and categorized according to the framework and according to anatomical location. The paper concludes with an outlook of future opportunities for XAI in medical image analysis.","author":[{"dropping-particle":"","family":"Velden","given":"Bas H.M.","non-dropping-particle":"van der","parse-names":false,"suffix":""},{"dropping-particle":"","family":"Kuijf","given":"Hugo J.","non-dropping-particle":"","parse-names":false,"suffix":""},{"dropping-particle":"","family":"Gilhuijs","given":"Kenneth G.A.","non-dropping-particle":"","parse-names":false,"suffix":""},{"dropping-particle":"","family":"Viergever","given":"Max A.","non-dropping-particle":"","parse-names":false,"suffix":""}],"container-title":"Medical Image Analysis","id":"ITEM-2","issued":{"date-parts":[["2022","7","1"]]},"page":"102470","publisher":"Elsevier","title":"Explainable artificial intelligence (XAI) in deep learning-based medical image analysis","type":"article-journal","volume":"79"},"uris":["http://www.mendeley.com/documents/?uuid=4a68a878-e2b1-3a0b-9d5d-08bc60968fb5"]}],"mendeley":{"formattedCitation":"(Samek et al., 2021; van der Velden et al., 2022)","plainTextFormattedCitation":"(Samek et al., 2021; van der Velden et al., 2022)","previouslyFormattedCitation":"(Samek et al., 2021; van der Velden et al., 2022)"},"properties":{"noteIndex":0},"schema":"https://github.com/citation-style-language/schema/raw/master/csl-citation.json"}</w:instrText>
      </w:r>
      <w:r w:rsidR="005A46D7">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(Samek et al., 2021; van der Velden et al., 2022)</w:t>
      </w:r>
      <w:r w:rsidR="005A46D7">
        <w:rPr>
          <w:rFonts w:ascii="Times New Roman" w:eastAsia="Times New Roman" w:hAnsi="Times New Roman" w:cs="Times New Roman"/>
          <w:sz w:val="24"/>
          <w:szCs w:val="24"/>
        </w:rPr>
        <w:fldChar w:fldCharType="end"/>
      </w:r>
      <w:r w:rsidRPr="001C6EB4">
        <w:rPr>
          <w:rFonts w:ascii="Times New Roman" w:eastAsia="Times New Roman" w:hAnsi="Times New Roman" w:cs="Times New Roman"/>
          <w:sz w:val="24"/>
          <w:szCs w:val="24"/>
        </w:rPr>
        <w:t>.</w:t>
      </w:r>
    </w:p>
    <w:p w:rsidR="001C6EB4" w:rsidRPr="001C6EB4" w:rsidRDefault="001C6EB4" w:rsidP="008B6F3D">
      <w:pPr>
        <w:pStyle w:val="Heading2"/>
        <w:rPr>
          <w:rFonts w:eastAsiaTheme="majorEastAsia"/>
        </w:rPr>
      </w:pPr>
      <w:r w:rsidRPr="001C6EB4">
        <w:rPr>
          <w:rFonts w:eastAsiaTheme="majorEastAsia"/>
        </w:rPr>
        <w:t>4.2 Comparison with Previous Studies</w:t>
      </w:r>
    </w:p>
    <w:p w:rsidR="001B0442" w:rsidRPr="001B0442" w:rsidRDefault="001B0442" w:rsidP="001B0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0"/>
        </w:rPr>
      </w:pPr>
      <w:r w:rsidRPr="001B0442">
        <w:rPr>
          <w:rFonts w:ascii="Times New Roman" w:eastAsia="Times New Roman" w:hAnsi="Times New Roman" w:cs="Times New Roman"/>
          <w:sz w:val="24"/>
          <w:szCs w:val="20"/>
        </w:rPr>
        <w:t>Our results compare favorably with prior work in chest X-ray classification.</w:t>
      </w:r>
      <w:r w:rsidR="001C2C1B">
        <w:rPr>
          <w:rFonts w:ascii="Times New Roman" w:eastAsia="Times New Roman" w:hAnsi="Times New Roman" w:cs="Times New Roman"/>
          <w:sz w:val="24"/>
          <w:szCs w:val="20"/>
        </w:rPr>
        <w:t xml:space="preserve"> </w:t>
      </w:r>
      <w:r w:rsidR="001C2C1B">
        <w:rPr>
          <w:rFonts w:ascii="Times New Roman" w:eastAsia="Times New Roman" w:hAnsi="Times New Roman" w:cs="Times New Roman"/>
          <w:sz w:val="24"/>
          <w:szCs w:val="20"/>
        </w:rPr>
        <w:fldChar w:fldCharType="begin" w:fldLock="1"/>
      </w:r>
      <w:r w:rsidR="00E43051">
        <w:rPr>
          <w:rFonts w:ascii="Times New Roman" w:eastAsia="Times New Roman" w:hAnsi="Times New Roman" w:cs="Times New Roman"/>
          <w:sz w:val="24"/>
          <w:szCs w:val="20"/>
        </w:rPr>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Learning","type":"report"},"uris":["http://www.mendeley.com/documents/?uuid=d3a80153-7eb6-3377-b425-19fcc463d18a"]}],"mendeley":{"formattedCitation":"(Rajpurkar et al., 2017)","manualFormatting":"Rajpurkar et al., (2017)","plainTextFormattedCitation":"(Rajpurkar et al., 2017)","previouslyFormattedCitation":"(Rajpurkar et al., 2017)"},"properties":{"noteIndex":0},"schema":"https://github.com/citation-style-language/schema/raw/master/csl-citation.json"}</w:instrText>
      </w:r>
      <w:r w:rsidR="001C2C1B">
        <w:rPr>
          <w:rFonts w:ascii="Times New Roman" w:eastAsia="Times New Roman" w:hAnsi="Times New Roman" w:cs="Times New Roman"/>
          <w:sz w:val="24"/>
          <w:szCs w:val="20"/>
        </w:rPr>
        <w:fldChar w:fldCharType="separate"/>
      </w:r>
      <w:r w:rsidR="001C2C1B" w:rsidRPr="001C2C1B">
        <w:rPr>
          <w:rFonts w:ascii="Times New Roman" w:eastAsia="Times New Roman" w:hAnsi="Times New Roman" w:cs="Times New Roman"/>
          <w:noProof/>
          <w:sz w:val="24"/>
          <w:szCs w:val="20"/>
        </w:rPr>
        <w:t xml:space="preserve">Rajpurkar et al., </w:t>
      </w:r>
      <w:r w:rsidR="001C2C1B">
        <w:rPr>
          <w:rFonts w:ascii="Times New Roman" w:eastAsia="Times New Roman" w:hAnsi="Times New Roman" w:cs="Times New Roman"/>
          <w:noProof/>
          <w:sz w:val="24"/>
          <w:szCs w:val="20"/>
        </w:rPr>
        <w:t>(</w:t>
      </w:r>
      <w:r w:rsidR="001C2C1B" w:rsidRPr="001C2C1B">
        <w:rPr>
          <w:rFonts w:ascii="Times New Roman" w:eastAsia="Times New Roman" w:hAnsi="Times New Roman" w:cs="Times New Roman"/>
          <w:noProof/>
          <w:sz w:val="24"/>
          <w:szCs w:val="20"/>
        </w:rPr>
        <w:t>2017)</w:t>
      </w:r>
      <w:r w:rsidR="001C2C1B">
        <w:rPr>
          <w:rFonts w:ascii="Times New Roman" w:eastAsia="Times New Roman" w:hAnsi="Times New Roman" w:cs="Times New Roman"/>
          <w:sz w:val="24"/>
          <w:szCs w:val="20"/>
        </w:rPr>
        <w:fldChar w:fldCharType="end"/>
      </w:r>
      <w:r w:rsidRPr="001B0442">
        <w:rPr>
          <w:rFonts w:ascii="Times New Roman" w:eastAsia="Times New Roman" w:hAnsi="Times New Roman" w:cs="Times New Roman"/>
          <w:sz w:val="24"/>
          <w:szCs w:val="20"/>
        </w:rPr>
        <w:t xml:space="preserve"> developed CheXNet for pneumonia detection and achieved an AUC of 0.88 for edema detection on the NIH ChestX-ray14 dataset.</w:t>
      </w:r>
      <w:r w:rsidR="001C2C1B">
        <w:rPr>
          <w:rFonts w:ascii="Times New Roman" w:eastAsia="Times New Roman" w:hAnsi="Times New Roman" w:cs="Times New Roman"/>
          <w:sz w:val="24"/>
          <w:szCs w:val="20"/>
        </w:rPr>
        <w:t xml:space="preserve"> </w:t>
      </w:r>
      <w:r w:rsidR="001C2C1B">
        <w:rPr>
          <w:rFonts w:ascii="Times New Roman" w:eastAsia="Times New Roman" w:hAnsi="Times New Roman" w:cs="Times New Roman"/>
          <w:sz w:val="24"/>
          <w:szCs w:val="20"/>
        </w:rPr>
        <w:fldChar w:fldCharType="begin" w:fldLock="1"/>
      </w:r>
      <w:r w:rsidR="00E43051">
        <w:rPr>
          <w:rFonts w:ascii="Times New Roman" w:eastAsia="Times New Roman" w:hAnsi="Times New Roman" w:cs="Times New Roman"/>
          <w:sz w:val="24"/>
          <w:szCs w:val="20"/>
        </w:rPr>
        <w:instrText>ADDIN CSL_CITATION {"citationItems":[{"id":"ITEM-1","itemData":{"DOI":"10.1093/NSR/NWAA137","ISSN":"2095-5138","PMID":"34676092","abstract":"To control the spread of the 2019 novel coronavirus (COVID-19), China imposed nationwide restrictions on the movement of its population (lockdown) after the Chinese New Year of 2020, leading to large reductions in economic activities and associated emissions. Despite such large decreases in primary pollution, there were nonetheless several periods of heavy haze pollution in eastern China, raising questions about the well-established relationship between human activities and air quality. Here, using comprehensive measurements and modeling, we show that the haze during the COVID lockdown was driven by enhancements of secondary pollution. In particular, large decreases in NOx emissions from transportation increased ozone and nighttime NO3 radical formation, and these increases in atmospheric oxidizing capacity in turn facilitated the formation of secondary particulate matter. Our results, afforded by the tragic natural experiment of the COVID-19 pandemic, indicate that haze mitigation depends upon a coordinated and balanced strategy for controlling multiple pollutants.","author":[{"dropping-particle":"","family":"Huang","given":"Xin","non-dropping-particle":"","parse-names":false,"suffix":""},{"dropping-particle":"","family":"Ding","given":"Aijun","non-dropping-particle":"","parse-names":false,"suffix":""},{"dropping-particle":"","family":"Gao","given":"Jian","non-dropping-particle":"","parse-names":false,"suffix":""},{"dropping-particle":"","family":"Zheng","given":"Bo","non-dropping-particle":"","parse-names":false,"suffix":""},{"dropping-particle":"","family":"Zhou","given":"Derong","non-dropping-particle":"","parse-names":false,"suffix":""},{"dropping-particle":"","family":"Qi","given":"Ximeng","non-dropping-particle":"","parse-names":false,"suffix":""},{"dropping-particle":"","family":"Tang","given":"Rong","non-dropping-particle":"","parse-names":false,"suffix":""},{"dropping-particle":"","family":"Wang","given":"Jiaping","non-dropping-particle":"","parse-names":false,"suffix":""},{"dropping-particle":"","family":"Ren","given":"Chuanhua","non-dropping-particle":"","parse-names":false,"suffix":""},{"dropping-particle":"","family":"Nie","given":"Wei","non-dropping-particle":"","parse-names":false,"suffix":""},{"dropping-particle":"","family":"Chi","given":"Xuguang","non-dropping-particle":"","parse-names":false,"suffix":""},{"dropping-particle":"","family":"Xu","given":"Zheng","non-dropping-particle":"","parse-names":false,"suffix":""},{"dropping-particle":"","family":"Chen","given":"Liangduo","non-dropping-particle":"","parse-names":false,"suffix":""},{"dropping-particle":"","family":"Li","given":"Yuanyuan","non-dropping-particle":"","parse-names":false,"suffix":""},{"dropping-particle":"","family":"Che","given":"Fei","non-dropping-particle":"","parse-names":false,"suffix":""},{"dropping-particle":"","family":"Pang","given":"Nini","non-dropping-particle":"","parse-names":false,"suffix":""},{"dropping-particle":"","family":"Wang","given":"Haikun","non-dropping-particle":"","parse-names":false,"suffix":""},{"dropping-particle":"","family":"Tong","given":"Dan","non-dropping-particle":"","parse-names":false,"suffix":""},{"dropping-particle":"","family":"Qin","given":"Wei","non-dropping-particle":"","parse-names":false,"suffix":""},{"dropping-particle":"","family":"Cheng","given":"Wei","non-dropping-particle":"","parse-names":false,"suffix":""},{"dropping-particle":"","family":"Liu","given":"Weijing","non-dropping-particle":"","parse-names":false,"suffix":""},{"dropping-particle":"","family":"Fu","given":"Qingyan","non-dropping-particle":"","parse-names":false,"suffix":""},{"dropping-particle":"","family":"Liu","given":"Baoxian","non-dropping-particle":"","parse-names":false,"suffix":""},{"dropping-particle":"","family":"Chai","given":"Fahe","non-dropping-particle":"","parse-names":false,"suffix":""},{"dropping-particle":"","family":"Davis","given":"Steven J.","non-dropping-particle":"","parse-names":false,"suffix":""},{"dropping-particle":"","family":"Zhang","given":"Qiang","non-dropping-particle":"","parse-names":false,"suffix":""},{"dropping-particle":"","family":"He","given":"Kebin","non-dropping-particle":"","parse-names":false,"suffix":""}],"container-title":"National Science Review","id":"ITEM-1","issue":"2","issued":{"date-parts":[["2021","2","10"]]},"page":"2021","publisher":"Oxford Academic","title":"Enhanced secondary pollution offset reduction of primary emissions during COVID-19 lockdown in China","type":"article-journal","volume":"8"},"uris":["http://www.mendeley.com/documents/?uuid=d59c94f7-4af6-3f6b-96b7-f3a0cc3acd79"]}],"mendeley":{"formattedCitation":"(X. Huang et al., 2021)","manualFormatting":"X. Huang et al., (2021)","plainTextFormattedCitation":"(X. Huang et al., 2021)","previouslyFormattedCitation":"(X. Huang et al., 2021)"},"properties":{"noteIndex":0},"schema":"https://github.com/citation-style-language/schema/raw/master/csl-citation.json"}</w:instrText>
      </w:r>
      <w:r w:rsidR="001C2C1B">
        <w:rPr>
          <w:rFonts w:ascii="Times New Roman" w:eastAsia="Times New Roman" w:hAnsi="Times New Roman" w:cs="Times New Roman"/>
          <w:sz w:val="24"/>
          <w:szCs w:val="20"/>
        </w:rPr>
        <w:fldChar w:fldCharType="separate"/>
      </w:r>
      <w:r w:rsidR="001C2C1B" w:rsidRPr="001C2C1B">
        <w:rPr>
          <w:rFonts w:ascii="Times New Roman" w:eastAsia="Times New Roman" w:hAnsi="Times New Roman" w:cs="Times New Roman"/>
          <w:noProof/>
          <w:sz w:val="24"/>
          <w:szCs w:val="20"/>
        </w:rPr>
        <w:t xml:space="preserve">X. Huang et al., </w:t>
      </w:r>
      <w:r w:rsidR="001C2C1B">
        <w:rPr>
          <w:rFonts w:ascii="Times New Roman" w:eastAsia="Times New Roman" w:hAnsi="Times New Roman" w:cs="Times New Roman"/>
          <w:noProof/>
          <w:sz w:val="24"/>
          <w:szCs w:val="20"/>
        </w:rPr>
        <w:t>(</w:t>
      </w:r>
      <w:r w:rsidR="001C2C1B" w:rsidRPr="001C2C1B">
        <w:rPr>
          <w:rFonts w:ascii="Times New Roman" w:eastAsia="Times New Roman" w:hAnsi="Times New Roman" w:cs="Times New Roman"/>
          <w:noProof/>
          <w:sz w:val="24"/>
          <w:szCs w:val="20"/>
        </w:rPr>
        <w:t>2021)</w:t>
      </w:r>
      <w:r w:rsidR="001C2C1B">
        <w:rPr>
          <w:rFonts w:ascii="Times New Roman" w:eastAsia="Times New Roman" w:hAnsi="Times New Roman" w:cs="Times New Roman"/>
          <w:sz w:val="24"/>
          <w:szCs w:val="20"/>
        </w:rPr>
        <w:fldChar w:fldCharType="end"/>
      </w:r>
      <w:r w:rsidR="005A46D7">
        <w:rPr>
          <w:rFonts w:ascii="Times New Roman" w:eastAsia="Times New Roman" w:hAnsi="Times New Roman" w:cs="Times New Roman"/>
          <w:sz w:val="24"/>
          <w:szCs w:val="20"/>
        </w:rPr>
        <w:t xml:space="preserve"> </w:t>
      </w:r>
      <w:r w:rsidRPr="001B0442">
        <w:rPr>
          <w:rFonts w:ascii="Times New Roman" w:eastAsia="Times New Roman" w:hAnsi="Times New Roman" w:cs="Times New Roman"/>
          <w:sz w:val="24"/>
          <w:szCs w:val="20"/>
        </w:rPr>
        <w:t xml:space="preserve">reported AUCs ranging from 0.85 to 0.92 for various thoracic abnormalities using ensemble methods. Our AUC of 0.917 represents competitive performance, likely attributable to our balanced dataset and two-phase training strategy </w:t>
      </w:r>
      <w:r w:rsidR="005A46D7">
        <w:rPr>
          <w:rFonts w:ascii="Times New Roman" w:eastAsia="Times New Roman" w:hAnsi="Times New Roman" w:cs="Times New Roman"/>
          <w:sz w:val="24"/>
          <w:szCs w:val="20"/>
        </w:rPr>
        <w:fldChar w:fldCharType="begin" w:fldLock="1"/>
      </w:r>
      <w:r w:rsidR="00E43051">
        <w:rPr>
          <w:rFonts w:ascii="Times New Roman" w:eastAsia="Times New Roman" w:hAnsi="Times New Roman" w:cs="Times New Roman"/>
          <w:sz w:val="24"/>
          <w:szCs w:val="20"/>
        </w:rPr>
        <w:instrText>ADDIN CSL_CITATION {"citationItems":[{"id":"ITEM-1","itemData":{"abstract":"Many deep neural networks trained on natural images exhibit a curious phenomenon in common: on the first layer they learn features similar to Gabor filters and color blobs. Such first-layer features appear not to be specific to a particular dataset or task, but general in that they are applicable to many datasets and tasks. Features must eventually transition from general to specific by the last layer of the network, but this transition has not been studied extensively. In this paper we experimentally quantify the generality versus specificity of neurons in each layer of a deep convolutional neural network and report a few surprising results. Trans-ferability is negatively affected by two distinct issues: (1) the specialization of higher layer neurons to their original task at the expense of performance on the target task, which was expected, and (2) optimization difficulties related to splitting networks between co-adapted neurons, which was not expected. In an example network trained on ImageNet, we demonstrate that either of these two issues may dominate, depending on whether features are transferred from the bottom, middle, or top of the network. We also document that the transferability of features decreases as the distance between the base task and target task increases, but that transferring features even from distant tasks can be better than using random features. A final surprising result is that initializing a network with transferred features from almost any number of layers can produce a boost to generalization that lingers even after fine-tuning to the target dataset.","author":[{"dropping-particle":"","family":"Yosinski","given":"Jason","non-dropping-particle":"","parse-names":false,"suffix":""},{"dropping-particle":"","family":"Clune","given":"Jeff","non-dropping-particle":"","parse-names":false,"suffix":""},{"dropping-particle":"","family":"Bengio","given":"Yoshua","non-dropping-particle":"","parse-names":false,"suffix":""},{"dropping-particle":"","family":"Lipson","given":"Hod","non-dropping-particle":"","parse-names":false,"suffix":""}],"container-title":"Advances in Neural Information Processing Systems","id":"ITEM-1","issued":{"date-parts":[["2014"]]},"title":"How transferable are features in deep neural networks?","type":"article-journal","volume":"27"},"uris":["http://www.mendeley.com/documents/?uuid=8d3907ff-aab8-33df-a887-4ab081544117"]}],"mendeley":{"formattedCitation":"(Yosinski et al., 2014)","plainTextFormattedCitation":"(Yosinski et al., 2014)","previouslyFormattedCitation":"(Yosinski et al., 2014)"},"properties":{"noteIndex":0},"schema":"https://github.com/citation-style-language/schema/raw/master/csl-citation.json"}</w:instrText>
      </w:r>
      <w:r w:rsidR="005A46D7">
        <w:rPr>
          <w:rFonts w:ascii="Times New Roman" w:eastAsia="Times New Roman" w:hAnsi="Times New Roman" w:cs="Times New Roman"/>
          <w:sz w:val="24"/>
          <w:szCs w:val="20"/>
        </w:rPr>
        <w:fldChar w:fldCharType="separate"/>
      </w:r>
      <w:r w:rsidR="005A46D7" w:rsidRPr="005A46D7">
        <w:rPr>
          <w:rFonts w:ascii="Times New Roman" w:eastAsia="Times New Roman" w:hAnsi="Times New Roman" w:cs="Times New Roman"/>
          <w:noProof/>
          <w:sz w:val="24"/>
          <w:szCs w:val="20"/>
        </w:rPr>
        <w:t>(Yosinski et al., 2014)</w:t>
      </w:r>
      <w:r w:rsidR="005A46D7">
        <w:rPr>
          <w:rFonts w:ascii="Times New Roman" w:eastAsia="Times New Roman" w:hAnsi="Times New Roman" w:cs="Times New Roman"/>
          <w:sz w:val="24"/>
          <w:szCs w:val="20"/>
        </w:rPr>
        <w:fldChar w:fldCharType="end"/>
      </w:r>
      <w:r w:rsidRPr="001B0442">
        <w:rPr>
          <w:rFonts w:ascii="Times New Roman" w:eastAsia="Times New Roman" w:hAnsi="Times New Roman" w:cs="Times New Roman"/>
          <w:sz w:val="24"/>
          <w:szCs w:val="20"/>
        </w:rPr>
        <w:t>.</w:t>
      </w:r>
    </w:p>
    <w:p w:rsidR="001B0442" w:rsidRPr="001B0442" w:rsidRDefault="001B0442" w:rsidP="001B0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0"/>
        </w:rPr>
      </w:pPr>
      <w:r w:rsidRPr="001B0442">
        <w:rPr>
          <w:rFonts w:ascii="Times New Roman" w:eastAsia="Times New Roman" w:hAnsi="Times New Roman" w:cs="Times New Roman"/>
          <w:sz w:val="24"/>
          <w:szCs w:val="20"/>
        </w:rPr>
        <w:t xml:space="preserve">Previous studies have demonstrated the value of explainability in medical AI. </w:t>
      </w:r>
      <w:r w:rsidR="005A46D7">
        <w:rPr>
          <w:rFonts w:ascii="Times New Roman" w:eastAsia="Times New Roman" w:hAnsi="Times New Roman" w:cs="Times New Roman"/>
          <w:sz w:val="24"/>
          <w:szCs w:val="20"/>
        </w:rPr>
        <w:fldChar w:fldCharType="begin" w:fldLock="1"/>
      </w:r>
      <w:r w:rsidR="00E43051">
        <w:rPr>
          <w:rFonts w:ascii="Times New Roman" w:eastAsia="Times New Roman" w:hAnsi="Times New Roman" w:cs="Times New Roman"/>
          <w:sz w:val="24"/>
          <w:szCs w:val="20"/>
        </w:rPr>
        <w:instrText>ADDIN CSL_CITATION {"citationItems":[{"id":"ITEM-1","itemData":{"DOI":"10.3390/JIMAGING6060052","ISSN":"2313433X","abstract":"Deep learning methods have been very effective for a variety of medical diagnostic tasks and have even outperformed human experts on some of those. However, the black-box nature of the algorithms has restricted their clinical use. Recent explainability studies aim to show the features that influence the decision of a model the most. The majority of literature reviews of this area have focused on taxonomy, ethics, and the need for explanations. A review of the current applications of explainable deep learning for different medical imaging tasks is presented here. The various approaches, challenges for clinical deployment, and the areas requiring further research are discussed here from a practical standpoint of a deep learning researcher designing a system for the clinical end-users.","author":[{"dropping-particle":"","family":"Singh","given":"Amitojdeep","non-dropping-particle":"","parse-names":false,"suffix":""},{"dropping-particle":"","family":"Sengupta","given":"Sourya","non-dropping-particle":"","parse-names":false,"suffix":""},{"dropping-particle":"","family":"Lakshminarayanan","given":"Vasudevan","non-dropping-particle":"","parse-names":false,"suffix":""}],"container-title":"Journal of Imaging","id":"ITEM-1","issue":"6","issued":{"date-parts":[["2020","6","20"]]},"page":"52","publisher":"MDPI AG","title":"Explainable deep learning models in medical image analysis","type":"article","volume":"6"},"uris":["http://www.mendeley.com/documents/?uuid=f0dfb458-0b79-3014-ac39-e4752b300be1"]}],"mendeley":{"formattedCitation":"(Singh et al., 2020)","manualFormatting":"Singh et al., (2020)","plainTextFormattedCitation":"(Singh et al., 2020)","previouslyFormattedCitation":"(Singh et al., 2020)"},"properties":{"noteIndex":0},"schema":"https://github.com/citation-style-language/schema/raw/master/csl-citation.json"}</w:instrText>
      </w:r>
      <w:r w:rsidR="005A46D7">
        <w:rPr>
          <w:rFonts w:ascii="Times New Roman" w:eastAsia="Times New Roman" w:hAnsi="Times New Roman" w:cs="Times New Roman"/>
          <w:sz w:val="24"/>
          <w:szCs w:val="20"/>
        </w:rPr>
        <w:fldChar w:fldCharType="separate"/>
      </w:r>
      <w:r w:rsidR="005A46D7" w:rsidRPr="005A46D7">
        <w:rPr>
          <w:rFonts w:ascii="Times New Roman" w:eastAsia="Times New Roman" w:hAnsi="Times New Roman" w:cs="Times New Roman"/>
          <w:noProof/>
          <w:sz w:val="24"/>
          <w:szCs w:val="20"/>
        </w:rPr>
        <w:t xml:space="preserve">Singh et al., </w:t>
      </w:r>
      <w:r w:rsidR="005A46D7">
        <w:rPr>
          <w:rFonts w:ascii="Times New Roman" w:eastAsia="Times New Roman" w:hAnsi="Times New Roman" w:cs="Times New Roman"/>
          <w:noProof/>
          <w:sz w:val="24"/>
          <w:szCs w:val="20"/>
        </w:rPr>
        <w:t>(</w:t>
      </w:r>
      <w:r w:rsidR="005A46D7" w:rsidRPr="005A46D7">
        <w:rPr>
          <w:rFonts w:ascii="Times New Roman" w:eastAsia="Times New Roman" w:hAnsi="Times New Roman" w:cs="Times New Roman"/>
          <w:noProof/>
          <w:sz w:val="24"/>
          <w:szCs w:val="20"/>
        </w:rPr>
        <w:t>2020)</w:t>
      </w:r>
      <w:r w:rsidR="005A46D7">
        <w:rPr>
          <w:rFonts w:ascii="Times New Roman" w:eastAsia="Times New Roman" w:hAnsi="Times New Roman" w:cs="Times New Roman"/>
          <w:sz w:val="24"/>
          <w:szCs w:val="20"/>
        </w:rPr>
        <w:fldChar w:fldCharType="end"/>
      </w:r>
      <w:r w:rsidRPr="001B0442">
        <w:rPr>
          <w:rFonts w:ascii="Times New Roman" w:eastAsia="Times New Roman" w:hAnsi="Times New Roman" w:cs="Times New Roman"/>
          <w:sz w:val="24"/>
          <w:szCs w:val="20"/>
        </w:rPr>
        <w:t xml:space="preserve"> showed that Grad-CAM visualizations increased radiologist trust in AI predictions for chest X-ray classification. Similarly, </w:t>
      </w:r>
      <w:r w:rsidR="005A46D7">
        <w:rPr>
          <w:rFonts w:ascii="Times New Roman" w:eastAsia="Times New Roman" w:hAnsi="Times New Roman" w:cs="Times New Roman"/>
          <w:sz w:val="24"/>
          <w:szCs w:val="20"/>
        </w:rPr>
        <w:fldChar w:fldCharType="begin" w:fldLock="1"/>
      </w:r>
      <w:r w:rsidR="00E43051">
        <w:rPr>
          <w:rFonts w:ascii="Times New Roman" w:eastAsia="Times New Roman" w:hAnsi="Times New Roman" w:cs="Times New Roman"/>
          <w:sz w:val="24"/>
          <w:szCs w:val="20"/>
        </w:rPr>
        <w:instrText>ADDIN CSL_CITATION {"citationItems":[{"id":"ITEM-1","itemData":{"DOI":"10.1016/J.MEDIA.2022.102470","ISSN":"1361-8415","PMID":"35576821","abstract":"With an increase in deep learning-based methods, the call for explainability of such methods grows, especially in high-stakes decision making areas such as medical image analysis. This survey presents an overview of explainable artificial intelligence (XAI) used in deep learning-based medical image analysis. A framework of XAI criteria is introduced to classify deep learning-based medical image analysis methods. Papers on XAI techniques in medical image analysis are then surveyed and categorized according to the framework and according to anatomical location. The paper concludes with an outlook of future opportunities for XAI in medical image analysis.","author":[{"dropping-particle":"","family":"Velden","given":"Bas H.M.","non-dropping-particle":"van der","parse-names":false,"suffix":""},{"dropping-particle":"","family":"Kuijf","given":"Hugo J.","non-dropping-particle":"","parse-names":false,"suffix":""},{"dropping-particle":"","family":"Gilhuijs","given":"Kenneth G.A.","non-dropping-particle":"","parse-names":false,"suffix":""},{"dropping-particle":"","family":"Viergever","given":"Max A.","non-dropping-particle":"","parse-names":false,"suffix":""}],"container-title":"Medical Image Analysis","id":"ITEM-1","issued":{"date-parts":[["2022","7","1"]]},"page":"102470","publisher":"Elsevier","title":"Explainable artificial intelligence (XAI) in deep learning-based medical image analysis","type":"article-journal","volume":"79"},"uris":["http://www.mendeley.com/documents/?uuid=4a68a878-e2b1-3a0b-9d5d-08bc60968fb5"]}],"mendeley":{"formattedCitation":"(van der Velden et al., 2022)","manualFormatting":"van der Velden et al., (2022)","plainTextFormattedCitation":"(van der Velden et al., 2022)","previouslyFormattedCitation":"(van der Velden et al., 2022)"},"properties":{"noteIndex":0},"schema":"https://github.com/citation-style-language/schema/raw/master/csl-citation.json"}</w:instrText>
      </w:r>
      <w:r w:rsidR="005A46D7">
        <w:rPr>
          <w:rFonts w:ascii="Times New Roman" w:eastAsia="Times New Roman" w:hAnsi="Times New Roman" w:cs="Times New Roman"/>
          <w:sz w:val="24"/>
          <w:szCs w:val="20"/>
        </w:rPr>
        <w:fldChar w:fldCharType="separate"/>
      </w:r>
      <w:r w:rsidR="005A46D7" w:rsidRPr="005A46D7">
        <w:rPr>
          <w:rFonts w:ascii="Times New Roman" w:eastAsia="Times New Roman" w:hAnsi="Times New Roman" w:cs="Times New Roman"/>
          <w:noProof/>
          <w:sz w:val="24"/>
          <w:szCs w:val="20"/>
        </w:rPr>
        <w:t xml:space="preserve">van der Velden et al., </w:t>
      </w:r>
      <w:r w:rsidR="005A46D7">
        <w:rPr>
          <w:rFonts w:ascii="Times New Roman" w:eastAsia="Times New Roman" w:hAnsi="Times New Roman" w:cs="Times New Roman"/>
          <w:noProof/>
          <w:sz w:val="24"/>
          <w:szCs w:val="20"/>
        </w:rPr>
        <w:t>(</w:t>
      </w:r>
      <w:r w:rsidR="005A46D7" w:rsidRPr="005A46D7">
        <w:rPr>
          <w:rFonts w:ascii="Times New Roman" w:eastAsia="Times New Roman" w:hAnsi="Times New Roman" w:cs="Times New Roman"/>
          <w:noProof/>
          <w:sz w:val="24"/>
          <w:szCs w:val="20"/>
        </w:rPr>
        <w:t>2022)</w:t>
      </w:r>
      <w:r w:rsidR="005A46D7">
        <w:rPr>
          <w:rFonts w:ascii="Times New Roman" w:eastAsia="Times New Roman" w:hAnsi="Times New Roman" w:cs="Times New Roman"/>
          <w:sz w:val="24"/>
          <w:szCs w:val="20"/>
        </w:rPr>
        <w:fldChar w:fldCharType="end"/>
      </w:r>
      <w:r w:rsidRPr="001B0442">
        <w:rPr>
          <w:rFonts w:ascii="Times New Roman" w:eastAsia="Times New Roman" w:hAnsi="Times New Roman" w:cs="Times New Roman"/>
          <w:sz w:val="24"/>
          <w:szCs w:val="20"/>
        </w:rPr>
        <w:t xml:space="preserve"> reviewed XAI applications in </w:t>
      </w:r>
      <w:r w:rsidRPr="001B0442">
        <w:rPr>
          <w:rFonts w:ascii="Times New Roman" w:eastAsia="Times New Roman" w:hAnsi="Times New Roman" w:cs="Times New Roman"/>
          <w:sz w:val="24"/>
          <w:szCs w:val="20"/>
        </w:rPr>
        <w:t>medical imaging and concluded that attention maps enhance clinical interpretability and facilitate regulatory approval.</w:t>
      </w:r>
    </w:p>
    <w:p w:rsidR="008E4717" w:rsidRPr="008E4717" w:rsidRDefault="008E4717" w:rsidP="008B6F3D">
      <w:pPr>
        <w:pStyle w:val="Heading2"/>
        <w:rPr>
          <w:rFonts w:eastAsiaTheme="majorEastAsia"/>
        </w:rPr>
      </w:pPr>
      <w:r w:rsidRPr="008E4717">
        <w:rPr>
          <w:rFonts w:eastAsiaTheme="majorEastAsia"/>
        </w:rPr>
        <w:t>4.3 Clinical Implications</w:t>
      </w:r>
    </w:p>
    <w:p w:rsidR="00D2723C" w:rsidRPr="00D2723C" w:rsidRDefault="00D2723C" w:rsidP="00D27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D2723C">
        <w:rPr>
          <w:rFonts w:ascii="Times New Roman" w:eastAsia="Times New Roman" w:hAnsi="Times New Roman" w:cs="Times New Roman"/>
          <w:sz w:val="24"/>
          <w:szCs w:val="24"/>
        </w:rPr>
        <w:t xml:space="preserve">The high specificity (88.0%) suggests our model reliably identifies normal cases, potentially reducing unnecessary follow-up examinations and associated healthcare costs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{"citationItems":[{"id":"ITEM-1","itemData":{"DOI":"10.1371/JOURNAL.PMED.1002686","ISBN":"1111111111","ISSN":"1549-1676","PMID":"30457988","abstract":"Background Chest radiograph interpretation is critical for the detection of thoracic diseases, including tuberculosis and lung cancer, which affect millions of people worldwide each year. This time-consuming task typically requires expert radiologists to read the images, leading to fatigue-based diagnostic error and lack of diagnostic expertise in areas of the world where radiologists are not available. Recently, deep learning approaches have been able to achieve expert-level performance in medical image interpretation tasks, powered by large network architectures and fueled by the emergence of large labeled datasets. The purpose of this study is to investigate the performance of a deep learning algorithm on the detection of pathologies in chest radiographs compared with practicing radiologists.   Methods and findings We developed CheXNeXt, a convolutional neural network to concurrently detect the presence of 14 different pathologies, including pneumonia, pleural effusion, pulmonary masses, and nodules in frontal-view chest radiographs. CheXNeXt was trained and internally validated on the ChestX-ray8 dataset, with a held-out validation set consisting of 420 images, sampled to contain at least 50 cases of each of the original pathology labels. On this validation set, the majority vote of a panel of 3 board-certified cardiothoracic specialist radiologists served as reference standard. We compared CheXNeXt’s discriminative performance on the validation set to the performance of 9 radiologists using the area under the receiver operating characteristic curve (AUC). The radiologists included 6 board-certified radiologists (average experience 12 years, range 4–28 years) and 3 senior radiology residents, from 3 academic institutions. We found that CheXNeXt achieved radiologist-level performance on 11 pathologies and did not achieve radiologist-level performance on 3 pathologies. The radiologists achieved statistically significantly higher AUC performance on cardiomegaly, emphysema, and hiatal hernia, with AUCs of 0.888 (95% confidence interval [CI] 0.863–0.910), 0.911 (95% CI 0.866–0.947), and 0.985 (95% CI 0.974–0.991), respectively, whereas CheXNeXt’s AUCs were 0.831 (95% CI 0.790–0.870), 0.704 (95% CI 0.567–0.833), and 0.851 (95% CI 0.785–0.909), respectively. CheXNeXt performed better than radiologists in detecting atelectasis, with an AUC of 0.862 (95% CI 0.825–0.895), statistically significantly higher than radiologists' AUC of 0.808 (95% CI 0.777–0.838);…","author":[{"dropping-particle":"","family":"Rajpurkar","given":"Pranav","non-dropping-particle":"","parse-names":false,"suffix":""},{"dropping-particle":"","family":"Irvin","given":"Jeremy","non-dropping-particle":"","parse-names":false,"suffix":""},{"dropping-particle":"","family":"Ball","given":"Robyn L.","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Langlotz","given":"Curtis P.","non-dropping-particle":"","parse-names":false,"suffix":""},{"dropping-particle":"","family":"Patel","given":"Bhavik N.","non-dropping-particle":"","parse-names":false,"suffix":""},{"dropping-particle":"","family":"Yeom","given":"Kristen W.","non-dropping-particle":"","parse-names":false,"suffix":""},{"dropping-particle":"","family":"Shpanskaya","given":"Katie","non-dropping-particle":"","parse-names":false,"suffix":""},{"dropping-particle":"","family":"Blankenberg","given":"Francis G.","non-dropping-particle":"","parse-names":false,"suffix":""},{"dropping-particle":"","family":"Seekins","given":"Jayne","non-dropping-particle":"","parse-names":false,"suffix":""},{"dropping-particle":"","family":"Amrhein","given":"Timothy J.","non-dropping-particle":"","parse-names":false,"suffix":""},{"dropping-particle":"","family":"Mong","given":"David A.","non-dropping-particle":"","parse-names":false,"suffix":""},{"dropping-particle":"","family":"Halabi","given":"Safwan S.","non-dropping-particle":"","parse-names":false,"suffix":""},{"dropping-particle":"","family":"Zucker","given":"Evan J.","non-dropping-particle":"","parse-names":false,"suffix":""},{"dropping-particle":"","family":"Ng","given":"Andrew Y.","non-dropping-particle":"","parse-names":false,"suffix":""},{"dropping-particle":"","family":"Lungren","given":"Matthew P.","non-dropping-particle":"","parse-names":false,"suffix":""}],"container-title":"PLOS Medicine","id":"ITEM-1","issue":"11","issued":{"date-parts":[["2018","11","1"]]},"page":"e1002686","publisher":"Public Library of Science","title":"Deep learning for chest radiograph diagnosis: A retrospective comparison of the CheXNeXt algorithm to practicing radiologists","type":"article-journal","volume":"15"},"uris":["http://www.mendeley.com/documents/?uuid=18dbb737-44d4-3f84-83e0-34a7af9a29f0"]}],"mendeley":{"formattedCitation":"(Rajpurkar et al., 2018)","plainTextFormattedCitation":"(Rajpurkar et al., 2018)","previouslyFormattedCitation":"(Rajpurkar et al., 2018)"},"properties":{"noteIndex":0},"schema":"https://github.com/citation-style-language/schema/raw/master/csl-citation.json"}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(Rajpurkar et al., 2018)</w:t>
      </w:r>
      <w:r w:rsidR="001C2C1B">
        <w:rPr>
          <w:rFonts w:ascii="Times New Roman" w:eastAsia="Times New Roman" w:hAnsi="Times New Roman" w:cs="Times New Roman"/>
          <w:sz w:val="24"/>
          <w:szCs w:val="24"/>
        </w:rPr>
        <w:fldChar w:fldCharType="end"/>
      </w:r>
      <w:r w:rsidRPr="00D2723C">
        <w:rPr>
          <w:rFonts w:ascii="Times New Roman" w:eastAsia="Times New Roman" w:hAnsi="Times New Roman" w:cs="Times New Roman"/>
          <w:sz w:val="24"/>
          <w:szCs w:val="24"/>
        </w:rPr>
        <w:t xml:space="preserve">. The 82.0% sensitivity indicates the model </w:t>
      </w:r>
      <w:r>
        <w:rPr>
          <w:rFonts w:ascii="Times New Roman" w:eastAsia="Times New Roman" w:hAnsi="Times New Roman" w:cs="Times New Roman"/>
          <w:sz w:val="24"/>
          <w:szCs w:val="24"/>
        </w:rPr>
        <w:t xml:space="preserve">captures most edema cases while </w:t>
      </w:r>
      <w:r w:rsidRPr="00D2723C">
        <w:rPr>
          <w:rFonts w:ascii="Times New Roman" w:eastAsia="Times New Roman" w:hAnsi="Times New Roman" w:cs="Times New Roman"/>
          <w:sz w:val="24"/>
          <w:szCs w:val="24"/>
        </w:rPr>
        <w:t xml:space="preserve">missing 18% - a clinically acceptable trade-off that could be improved with additional training data or ensemble methods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{"citationItems":[{"id":"ITEM-1","itemData":{"DOI":"10.1007/3-540-45014-9_1/SAVE-RESEARCH","ISBN":"3540677046","ISSN":"16113349","abstract":"Ensemble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 © Springer-Verlag Berlin Heidelberg 2000.","author":[{"dropping-particle":"","family":"Dietterich","given":"Thomas G.","non-dropping-particle":"","parse-names":false,"suffix":""}],"container-title":"Lecture Notes in Computer Science (including subseries Lecture Notes in Artificial Intelligence and Lecture Notes in Bioinformatics)","id":"ITEM-1","issued":{"date-parts":[["2000"]]},"page":"1-15","publisher":"Springer Verlag","title":"Ensemble methods in machine learning","type":"article-journal","volume":"1857 LNCS"},"uris":["http://www.mendeley.com/documents/?uuid=bd7dc870-8582-31d4-9f9e-46d45851a632"]}],"mendeley":{"formattedCitation":"(Dietterich, 2000)","plainTextFormattedCitation":"(Dietterich, 2000)","previouslyFormattedCitation":"(Dietterich, 2000)"},"properties":{"noteIndex":0},"schema":"https://github.com/citation-style-language/schema/raw/master/csl-citation.json"}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(Dietterich, 2000)</w:t>
      </w:r>
      <w:r w:rsidR="001C2C1B">
        <w:rPr>
          <w:rFonts w:ascii="Times New Roman" w:eastAsia="Times New Roman" w:hAnsi="Times New Roman" w:cs="Times New Roman"/>
          <w:sz w:val="24"/>
          <w:szCs w:val="24"/>
        </w:rPr>
        <w:fldChar w:fldCharType="end"/>
      </w:r>
      <w:r w:rsidRPr="00D2723C">
        <w:rPr>
          <w:rFonts w:ascii="Times New Roman" w:eastAsia="Times New Roman" w:hAnsi="Times New Roman" w:cs="Times New Roman"/>
          <w:sz w:val="24"/>
          <w:szCs w:val="24"/>
        </w:rPr>
        <w:t>.</w:t>
      </w:r>
    </w:p>
    <w:p w:rsidR="00D2723C" w:rsidRPr="00D2723C" w:rsidRDefault="00D2723C" w:rsidP="00D27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D2723C">
        <w:rPr>
          <w:rFonts w:ascii="Times New Roman" w:eastAsia="Times New Roman" w:hAnsi="Times New Roman" w:cs="Times New Roman"/>
          <w:sz w:val="24"/>
          <w:szCs w:val="24"/>
        </w:rPr>
        <w:t xml:space="preserve">The Grad-CAM attention maps enhance clinical trust by showing that the model focuses on anatomically appropriate regions. Perihilar and interstitial attention patterns are consistent with radiological criteria for pulmonary edema diagnosis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{"citationItems":[{"id":"ITEM-1","itemData":{"DOI":"10.1148/RADIOL.2462070712/ASSET/IMAGES/R08FE34G71X.JPEG","ISSN":"00338419","PMID":"18195376","abstract":"Members of the Fleischner Society compiled a glossary of terms for thoracic imaging that replaces previous glossaries published in 1984 and 1996 for thoracic radiography and computed tomography (CT), respectively. The need to update the previous versions came from the recognition that new words have emerged, others have become obsolete, and the meaning of some terms has changed. Brief descriptions of some diseases are included, and pictorial examples (chest radiographs and CT scans) are provided for the majority of terms. © RSNA, 2008.","author":[{"dropping-particle":"","family":"Hansell","given":"David M.","non-dropping-particle":"","parse-names":false,"suffix":""},{"dropping-particle":"","family":"Bankier","given":"Alexander A.","non-dropping-particle":"","parse-names":false,"suffix":""},{"dropping-particle":"","family":"MacMahon","given":"Heber","non-dropping-particle":"","parse-names":false,"suffix":""},{"dropping-particle":"","family":"McLoud","given":"Theresa C.","non-dropping-particle":"","parse-names":false,"suffix":""},{"dropping-particle":"","family":"Müller","given":"Nestor L.","non-dropping-particle":"","parse-names":false,"suffix":""},{"dropping-particle":"","family":"Remy","given":"Jacques","non-dropping-particle":"","parse-names":false,"suffix":""}],"container-title":"Radiology","id":"ITEM-1","issue":"3","issued":{"date-parts":[["2008","3","1"]]},"page":"697-722","publisher":"Radiological Society of North America","title":"Fleischner Society: Glossary of terms for thoracic imaging","type":"article-journal","volume":"246"},"uris":["http://www.mendeley.com/documents/?uuid=bfd57ac8-87a5-3521-a8f1-a224ec75ece9"]},{"id":"ITEM-2","itemData":{"DOI":"10.2214/AJR.144.5.879","ISBN":"196.43.77.188","ISSN":"0361803X","PMID":"3872571","abstract":"Improvement in the ability to determine the specific cause of any given case of pulmonary edema would lead to more rapid and definitive treatment. \"Wedge\" pressures and measurements of cardiac outp...","author":[{"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container-title":"https://www.ajronline.org/","id":"ITEM-2","issue":"5","issued":{"date-parts":[["2012","11","23"]]},"page":"879-894","publisher":"American Roentgen Ray Society","title":"The radiologic distinction of cardiogenic and noncardiogenic edema","type":"article-journal","volume":"144"},"uris":["http://www.mendeley.com/documents/?uuid=e2ea7f9f-d5dd-338f-8cb4-83f38dd7cc54"]}],"mendeley":{"formattedCitation":"(Hansell et al., 2008; Milne et al., 2012)","plainTextFormattedCitation":"(Hansell et al., 2008; Milne et al., 2012)","previouslyFormattedCitation":"(Hansell et al., 2008; Milne et al., 2012)"},"properties":{"noteIndex":0},"schema":"https://github.com/citation-style-language/schema/raw/master/csl-citation.json"}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(Hansell et al., 2008; Milne et al., 2012)</w:t>
      </w:r>
      <w:r w:rsidR="001C2C1B">
        <w:rPr>
          <w:rFonts w:ascii="Times New Roman" w:eastAsia="Times New Roman" w:hAnsi="Times New Roman" w:cs="Times New Roman"/>
          <w:sz w:val="24"/>
          <w:szCs w:val="24"/>
        </w:rPr>
        <w:fldChar w:fldCharType="end"/>
      </w:r>
      <w:r w:rsidRPr="00D2723C">
        <w:rPr>
          <w:rFonts w:ascii="Times New Roman" w:eastAsia="Times New Roman" w:hAnsi="Times New Roman" w:cs="Times New Roman"/>
          <w:sz w:val="24"/>
          <w:szCs w:val="24"/>
        </w:rPr>
        <w:t xml:space="preserve">. This transparency may facilitate AI integration into clinical workflows, serving as a second reader or triage tool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{"citationItems":[{"id":"ITEM-1","itemData":{"DOI":"10.1038/s41591-018-0316-z","ISSN":"1546-170X","PMID":"30617335","abstract":"Here we present deep-learning techniques for healthcare, centering our discussion on deep learning in computer vision, natural language processing, reinforcement learning, and generalized methods. We describe how these computational techniques can impact a few key areas of medicine and explore how to build end-to-end systems. Our discussion of computer vision focuses largely on medical imaging, and we describe the application of natural language processing to domains such as electronic health record data. Similarly, reinforcement learning is discussed in the context of robotic-assisted surgery, and generalized deep-learning methods for genomics are reviewed. A primer for deep-learning techniques for healthcare, centering on deep learning in computer vision, natural language processing, reinforcement learning, and generalized methods.","author":[{"dropping-particle":"","family":"Esteva","given":"Andre","non-dropping-particle":"","parse-names":false,"suffix":""},{"dropping-particle":"","family":"Robicquet","given":"Alexandre","non-dropping-particle":"","parse-names":false,"suffix":""},{"dropping-particle":"","family":"Ramsundar","given":"Bharath","non-dropping-particle":"","parse-names":false,"suffix":""},{"dropping-particle":"","family":"Kuleshov","given":"Volodymyr","non-dropping-particle":"","parse-names":false,"suffix":""},{"dropping-particle":"","family":"DePristo","given":"Mark","non-dropping-particle":"","parse-names":false,"suffix":""},{"dropping-particle":"","family":"Chou","given":"Katherine","non-dropping-particle":"","parse-names":false,"suffix":""},{"dropping-particle":"","family":"Cui","given":"Claire","non-dropping-particle":"","parse-names":false,"suffix":""},{"dropping-particle":"","family":"Corrado","given":"Greg","non-dropping-particle":"","parse-names":false,"suffix":""},{"dropping-particle":"","family":"Thrun","given":"Sebastian","non-dropping-particle":"","parse-names":false,"suffix":""},{"dropping-particle":"","family":"Dean","given":"Jeff","non-dropping-particle":"","parse-names":false,"suffix":""}],"container-title":"Nature Medicine 2019 25:1","id":"ITEM-1","issue":"1","issued":{"date-parts":[["2019","1","7"]]},"page":"24-29","publisher":"Nature Publishing Group","title":"A guide to deep learning in healthcare","type":"article-journal","volume":"25"},"uris":["http://www.mendeley.com/documents/?uuid=c79cfa70-1e60-3f2a-a05e-10cce4e19c5f"]}],"mendeley":{"formattedCitation":"(Esteva et al., 2019)","plainTextFormattedCitation":"(Esteva et al., 2019)","previouslyFormattedCitation":"(Esteva et al., 2019)"},"properties":{"noteIndex":0},"schema":"https://github.com/citation-style-language/schema/raw/master/csl-citation.json"}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(Esteva et al., 2019)</w:t>
      </w:r>
      <w:r w:rsidR="001C2C1B">
        <w:rPr>
          <w:rFonts w:ascii="Times New Roman" w:eastAsia="Times New Roman" w:hAnsi="Times New Roman" w:cs="Times New Roman"/>
          <w:sz w:val="24"/>
          <w:szCs w:val="24"/>
        </w:rPr>
        <w:fldChar w:fldCharType="end"/>
      </w:r>
      <w:r w:rsidRPr="00D2723C">
        <w:rPr>
          <w:rFonts w:ascii="Times New Roman" w:eastAsia="Times New Roman" w:hAnsi="Times New Roman" w:cs="Times New Roman"/>
          <w:sz w:val="24"/>
          <w:szCs w:val="24"/>
        </w:rPr>
        <w:t>.</w:t>
      </w:r>
    </w:p>
    <w:p w:rsidR="00D2723C" w:rsidRPr="00D2723C" w:rsidRDefault="00D2723C" w:rsidP="008B6F3D">
      <w:pPr>
        <w:pStyle w:val="Heading2"/>
        <w:rPr>
          <w:rFonts w:eastAsiaTheme="majorEastAsia"/>
        </w:rPr>
      </w:pPr>
      <w:r w:rsidRPr="00D2723C">
        <w:rPr>
          <w:rFonts w:eastAsiaTheme="majorEastAsia"/>
        </w:rPr>
        <w:t>4.4 Limitations</w:t>
      </w:r>
    </w:p>
    <w:p w:rsidR="00D210CB" w:rsidRDefault="00D210CB" w:rsidP="00D21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D210CB">
        <w:rPr>
          <w:rFonts w:ascii="Times New Roman" w:eastAsia="Times New Roman" w:hAnsi="Times New Roman" w:cs="Times New Roman"/>
          <w:sz w:val="24"/>
          <w:szCs w:val="24"/>
        </w:rPr>
        <w:t xml:space="preserve">Several limitations warrant consideration. First, the dataset was limited to 1,000 images from a single institution, and external validation on multi-institutional </w:t>
      </w:r>
      <w:r w:rsidRPr="00D210CB">
        <w:rPr>
          <w:rFonts w:ascii="Times New Roman" w:eastAsia="Times New Roman" w:hAnsi="Times New Roman" w:cs="Times New Roman"/>
          <w:sz w:val="24"/>
          <w:szCs w:val="24"/>
        </w:rPr>
        <w:lastRenderedPageBreak/>
        <w:t xml:space="preserve">data is needed to assess generalizability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URL":"https://scholar.google.com/scholar?hl=en&amp;as_sdt=0%2C5&amp;q=Wang%2C+X.%2C+et+al.+%282017%29.+ChestX-ray8%3A+Hospital-scale+chest+X-ray+database+and+benchmarks+on+weakly-supervised+classification.+CVPR.&amp;btnG=","accessed":{"date-parts":[["2026","3","24"]]},"author":[{"dropping-particle":"","family":"Wang, X.","given":"et al. (2022)","non-dropping-particle":"","parse-names":false,"suffix":""}],"id":"ITEM-1","issued":{"date-parts":[["2022"]]},"title":"Wang, X., et al. (2017). ChestX-ray8: Hospital-scale... - Google Scholar","type":"webpage"},"uris":["http://www.mendeley.com/documents/?uuid=b354a95a-03d0-3f98-89a5-69f1fd5616b4"]}],"mendeley":{"formattedCitation":"(Wang, X., 2022)","plainTextFormattedCitation":"(Wang, X., 2022)","previouslyFormattedCitation":"(Wang, X., 2022)"},"properties":{"noteIndex":0},"schema":"https://github.com/citation-style-language/schema/raw/master/csl-citation.json"}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(Wang, X., 2022)</w:t>
      </w:r>
      <w:r w:rsidR="001C2C1B">
        <w:rPr>
          <w:rFonts w:ascii="Times New Roman" w:eastAsia="Times New Roman" w:hAnsi="Times New Roman" w:cs="Times New Roman"/>
          <w:sz w:val="24"/>
          <w:szCs w:val="24"/>
        </w:rPr>
        <w:fldChar w:fldCharType="end"/>
      </w:r>
      <w:r w:rsidRPr="00D210CB">
        <w:rPr>
          <w:rFonts w:ascii="Times New Roman" w:eastAsia="Times New Roman" w:hAnsi="Times New Roman" w:cs="Times New Roman"/>
          <w:sz w:val="24"/>
          <w:szCs w:val="24"/>
        </w:rPr>
        <w:t>. Second, the model was de</w:t>
      </w:r>
      <w:r>
        <w:rPr>
          <w:rFonts w:ascii="Times New Roman" w:eastAsia="Times New Roman" w:hAnsi="Times New Roman" w:cs="Times New Roman"/>
          <w:sz w:val="24"/>
          <w:szCs w:val="24"/>
        </w:rPr>
        <w:t xml:space="preserve">veloped on binary </w:t>
      </w:r>
      <w:r w:rsidRPr="00D210CB">
        <w:rPr>
          <w:rFonts w:ascii="Times New Roman" w:eastAsia="Times New Roman" w:hAnsi="Times New Roman" w:cs="Times New Roman"/>
          <w:sz w:val="24"/>
          <w:szCs w:val="24"/>
        </w:rPr>
        <w:t xml:space="preserve">classification (edema vs. normal); real-world clinical practice involves differential diagnosis with multiple pathologies including pneumonia, atelectasis, and congestive heart failure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{"citationItems":[{"id":"ITEM-1","itemData":{"DOI":"10.1148/RADIOL.2462070712/ASSET/IMAGES/R08FE34G71X.JPEG","ISSN":"00338419","PMID":"18195376","abstract":"Members of the Fleischner Society compiled a glossary of terms for thoracic imaging that replaces previous glossaries published in 1984 and 1996 for thoracic radiography and computed tomography (CT), respectively. The need to update the previous versions came from the recognition that new words have emerged, others have become obsolete, and the meaning of some terms has changed. Brief descriptions of some diseases are included, and pictorial examples (chest radiographs and CT scans) are provided for the majority of terms. © RSNA, 2008.","author":[{"dropping-particle":"","family":"Hansell","given":"David M.","non-dropping-particle":"","parse-names":false,"suffix":""},{"dropping-particle":"","family":"Bankier","given":"Alexander A.","non-dropping-particle":"","parse-names":false,"suffix":""},{"dropping-particle":"","family":"MacMahon","given":"Heber","non-dropping-particle":"","parse-names":false,"suffix":""},{"dropping-particle":"","family":"McLoud","given":"Theresa C.","non-dropping-particle":"","parse-names":false,"suffix":""},{"dropping-particle":"","family":"Müller","given":"Nestor L.","non-dropping-particle":"","parse-names":false,"suffix":""},{"dropping-particle":"","family":"Remy","given":"Jacques","non-dropping-particle":"","parse-names":false,"suffix":""}],"container-title":"Radiology","id":"ITEM-1","issue":"3","issued":{"date-parts":[["2008","3","1"]]},"page":"697-722","publisher":"Radiological Society of North America","title":"Fleischner Society: Glossary of terms for thoracic imaging","type":"article-journal","volume":"246"},"uris":["http://www.mendeley.com/documents/?uuid=bfd57ac8-87a5-3521-a8f1-a224ec75ece9"]}],"mendeley":{"formattedCitation":"(Hansell et al., 2008)","plainTextFormattedCitation":"(Hansell et al., 2008)","previouslyFormattedCitation":"(Hansell et al., 2008)"},"properties":{"noteIndex":0},"schema":"https://github.com/citation-style-language/schema/raw/master/csl-citation.json"}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(Hansell et al., 2008)</w:t>
      </w:r>
      <w:r w:rsidR="001C2C1B">
        <w:rPr>
          <w:rFonts w:ascii="Times New Roman" w:eastAsia="Times New Roman" w:hAnsi="Times New Roman" w:cs="Times New Roman"/>
          <w:sz w:val="24"/>
          <w:szCs w:val="24"/>
        </w:rPr>
        <w:fldChar w:fldCharType="end"/>
      </w:r>
      <w:r w:rsidRPr="00D210CB">
        <w:rPr>
          <w:rFonts w:ascii="Times New Roman" w:eastAsia="Times New Roman" w:hAnsi="Times New Roman" w:cs="Times New Roman"/>
          <w:sz w:val="24"/>
          <w:szCs w:val="24"/>
        </w:rPr>
        <w:t xml:space="preserve">. Third, Grad-CAM provides approximate localization rather than precise segmentation, which may have limitations for small or subtle findings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{"citationItems":[{"id":"ITEM-1","itemData":{"DOI":"10.1007/S11263-019-01228-7/FIGURES/21","ISSN":"15731405","abstract":"We propose a technique for producing ‘visual explanations’ for decisions from a large class of Convolutional Neural Network (CNN)-based models, making them more transparent and explainable. Our approach—Gradient-weighted Class Activation Mapping (Grad-CAM), uses the gradients of any target concept (say ‘dog’ in a classification network or a sequence of words in captioning network) flowing into the final convolutional layer to produce a coarse localization map highlighting the important regions in the image for predicting the concept. Unlike previous approaches, Grad-CAM is applicable to a wide variety of CNN model-families: (1) CNNs with fully-connected layers (e.g.VGG), (2) CNNs used for structured outputs (e.g.captioning), (3) CNNs used in tasks with multi-modal inputs (e.g.visual question answering) or reinforcement learning, all without architectural changes or re-training. We combine Grad-CAM with existing fine-grained visualizations to create a high-resolution class-discriminative visualization, Guided Grad-CAM, and apply it to image classification, image captioning, and visual question answering (VQA) models, including ResNet-based architectures. In the context of image classification models, our visualizations (a) lend insights into failure modes of these models (showing that seemingly unreasonable predictions have reasonable explanations), (b) outperform previous methods on the ILSVRC-15 weakly-supervised localization task, (c) are robust to adversarial perturbations, (d) are more faithful to the underlying model, and (e) help achieve model generalization by identifying dataset bias. For image captioning and VQA, our visualizations show that even non-attention based models learn to localize discriminative regions of input image. We devise a way to identify important neurons through Grad-CAM and combine it with neuron names (Bau et al. in Computer vision and pattern recognition, 2017) to provide textual explanations for model decisions. Finally, we design and conduct human studies to measure if Grad-CAM explanations help users establish appropriate trust in predictions from deep networks and show that Grad-CAM helps untrained users successfully discern a ‘stronger’ deep network from a ‘weaker’ one even when both make identical predictions. Our code is available at https://github.com/ramprs/grad-cam/, along with a demo on CloudCV (Agrawal et al., in: Mobile cloud visual media computing, pp 265–290. Springer, 2015) (http://gradcam.cloudcv.org) and…","author":[{"dropping-particle":"","family":"Selvaraju","given":"Ramprasaath R.","non-dropping-particle":"","parse-names":false,"suffix":""},{"dropping-particle":"","family":"Cogswell","given":"Michael","non-dropping-particle":"","parse-names":false,"suffix":""},{"dropping-particle":"","family":"Das","given":"Abhishek","non-dropping-particle":"","parse-names":false,"suffix":""},{"dropping-particle":"","family":"Vedantam","given":"Ramakrishna","non-dropping-particle":"","parse-names":false,"suffix":""},{"dropping-particle":"","family":"Parikh","given":"Devi","non-dropping-particle":"","parse-names":false,"suffix":""},{"dropping-particle":"","family":"Batra","given":"Dhruv","non-dropping-particle":"","parse-names":false,"suffix":""}],"container-title":"International Journal of Computer Vision","id":"ITEM-1","issue":"2","issued":{"date-parts":[["2020","2","1"]]},"page":"336-359","publisher":"Springer","title":"Grad-CAM: Visual Explanations from Deep Networks via Gradient-Based Localization","type":"article-journal","volume":"128"},"uris":["http://www.mendeley.com/documents/?uuid=5af1885e-465e-3d71-9d40-5b71ed87cafb"]}],"mendeley":{"formattedCitation":"(Selvaraju et al., 2020)","plainTextFormattedCitation":"(Selvaraju et al., 2020)","previouslyFormattedCitation":"(Selvaraju et al., 2020)"},"properties":{"noteIndex":0},"schema":"https://github.com/citation-style-language/schema/raw/master/csl-citation.json"}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(Selvaraju et al., 2020)</w:t>
      </w:r>
      <w:r w:rsidR="001C2C1B">
        <w:rPr>
          <w:rFonts w:ascii="Times New Roman" w:eastAsia="Times New Roman" w:hAnsi="Times New Roman" w:cs="Times New Roman"/>
          <w:sz w:val="24"/>
          <w:szCs w:val="24"/>
        </w:rPr>
        <w:fldChar w:fldCharType="end"/>
      </w:r>
      <w:r w:rsidRPr="00D210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210CB">
        <w:rPr>
          <w:rFonts w:ascii="Times New Roman" w:eastAsia="Times New Roman" w:hAnsi="Times New Roman" w:cs="Times New Roman"/>
          <w:sz w:val="24"/>
          <w:szCs w:val="24"/>
        </w:rPr>
        <w:t xml:space="preserve">Fourth, the dataset may contain inherent biases related to patient demographics, imaging equipment, or annotation protocols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{"citationItems":[{"id":"ITEM-1","itemData":{"DOI":"10.1038/s41591-023-02608-w","ISSN":"1546-170X","PMID":"37884627","abstract":"Artificial intelligence as a medical device is increasingly being applied to healthcare for diagnosis, risk stratification and resource allocation. However, a growing body of evidence has highlighted the risk of algorithmic bias, which may perpetuate existing health inequity. This problem arises in part because of systemic inequalities in dataset curation, unequal opportunity to participate in research and inequalities of access. This study aims to explore existing standards, frameworks and best practices for ensuring adequate data diversity in health datasets. Exploring the body of existing literature and expert views is an important step towards the development of consensus-based guidelines. The study comprises two parts: a systematic review of existing standards, frameworks and best practices for healthcare datasets; and a survey and thematic analysis of stakeholder views of bias, health equity and best practices for artificial intelligence as a medical device. We found that the need for dataset diversity was well described in literature, and experts generally favored the development of a robust set of guidelines, but there were mixed views about how these could be implemented practically. The outputs of this study will be used to inform the development of standards for transparency of data diversity in health datasets (the STANDING Together initiative). A systematic review, combined with a stakeholder survey, presents an overview of current practices and recommendations for dataset curation in health, with specific focuses on data diversity and artificial intelligence-based applications.","author":[{"dropping-particle":"","family":"Arora","given":"Anmol","non-dropping-particle":"","parse-names":false,"suffix":""},{"dropping-particle":"","family":"Alderman","given":"Joseph E.","non-dropping-particle":"","parse-names":false,"suffix":""},{"dropping-particle":"","family":"Palmer","given":"Joanne","non-dropping-particle":"","parse-names":false,"suffix":""},{"dropping-particle":"","family":"Ganapathi","given":"Shaswath","non-dropping-particle":"","parse-names":false,"suffix":""},{"dropping-particle":"","family":"Laws","given":"Elinor","non-dropping-particle":"","parse-names":false,"suffix":""},{"dropping-particle":"","family":"McCradden","given":"Melissa D.","non-dropping-particle":"","parse-names":false,"suffix":""},{"dropping-particle":"","family":"Oakden-Rayner","given":"Lauren","non-dropping-particle":"","parse-names":false,"suffix":""},{"dropping-particle":"","family":"Pfohl","given":"Stephen R.","non-dropping-particle":"","parse-names":false,"suffix":""},{"dropping-particle":"","family":"Ghassemi","given":"Marzyeh","non-dropping-particle":"","parse-names":false,"suffix":""},{"dropping-particle":"","family":"McKay","given":"Francis","non-dropping-particle":"","parse-names":false,"suffix":""},{"dropping-particle":"","family":"Treanor","given":"Darren","non-dropping-particle":"","parse-names":false,"suffix":""},{"dropping-particle":"","family":"Rostamzadeh","given":"Negar","non-dropping-particle":"","parse-names":false,"suffix":""},{"dropping-particle":"","family":"Mateen","given":"Bilal","non-dropping-particle":"","parse-names":false,"suffix":""},{"dropping-particle":"","family":"Gath","given":"Jacqui","non-dropping-particle":"","parse-names":false,"suffix":""},{"dropping-particle":"","family":"Adebajo","given":"Adewole O.","non-dropping-particle":"","parse-names":false,"suffix":""},{"dropping-particle":"","family":"Kuku","given":"Stephanie","non-dropping-particle":"","parse-names":false,"suffix":""},{"dropping-particle":"","family":"Matin","given":"Rubeta","non-dropping-particle":"","parse-names":false,"suffix":""},{"dropping-particle":"","family":"Heller","given":"Katherine","non-dropping-particle":"","parse-names":false,"suffix":""},{"dropping-particle":"","family":"Sapey","given":"Elizabeth","non-dropping-particle":"","parse-names":false,"suffix":""},{"dropping-particle":"","family":"Sebire","given":"Neil J.","non-dropping-particle":"","parse-names":false,"suffix":""},{"dropping-particle":"","family":"Cole-Lewis","given":"Heather","non-dropping-particle":"","parse-names":false,"suffix":""},{"dropping-particle":"","family":"Calvert","given":"Melanie","non-dropping-particle":"","parse-names":false,"suffix":""},{"dropping-particle":"","family":"Denniston","given":"Alastair","non-dropping-particle":"","parse-names":false,"suffix":""},{"dropping-particle":"","family":"Liu","given":"Xiaoxuan","non-dropping-particle":"","parse-names":false,"suffix":""}],"container-title":"Nature Medicine 2023 29:11","id":"ITEM-1","issue":"11","issued":{"date-parts":[["2023","10","26"]]},"page":"2929-2938","publisher":"Nature Publishing Group","title":"The value of standards for health datasets in artificial intelligence-based applications","type":"article-journal","volume":"29"},"uris":["http://www.mendeley.com/documents/?uuid=c11145be-61f2-3705-b14c-cba105f61aa7"]}],"mendeley":{"formattedCitation":"(Arora et al., 2023)","plainTextFormattedCitation":"(Arora et al., 2023)","previouslyFormattedCitation":"(Arora et al., 2023)"},"properties":{"noteIndex":0},"schema":"https://github.com/citation-style-language/schema/raw/master/csl-citation.json"}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(Arora et al., 2023)</w:t>
      </w:r>
      <w:r w:rsidR="001C2C1B">
        <w:rPr>
          <w:rFonts w:ascii="Times New Roman" w:eastAsia="Times New Roman" w:hAnsi="Times New Roman" w:cs="Times New Roman"/>
          <w:sz w:val="24"/>
          <w:szCs w:val="24"/>
        </w:rPr>
        <w:fldChar w:fldCharType="end"/>
      </w:r>
      <w:r w:rsidRPr="00D210CB">
        <w:rPr>
          <w:rFonts w:ascii="Times New Roman" w:eastAsia="Times New Roman" w:hAnsi="Times New Roman" w:cs="Times New Roman"/>
          <w:sz w:val="24"/>
          <w:szCs w:val="24"/>
        </w:rPr>
        <w:t xml:space="preserve">. Fifth, we did not perform a reader study comparing model performance to radiologists, </w:t>
      </w:r>
      <w:r>
        <w:rPr>
          <w:rFonts w:ascii="Times New Roman" w:eastAsia="Times New Roman" w:hAnsi="Times New Roman" w:cs="Times New Roman"/>
          <w:sz w:val="24"/>
          <w:szCs w:val="24"/>
        </w:rPr>
        <w:t xml:space="preserve">which would </w:t>
      </w:r>
      <w:r w:rsidRPr="00D210CB">
        <w:rPr>
          <w:rFonts w:ascii="Times New Roman" w:eastAsia="Times New Roman" w:hAnsi="Times New Roman" w:cs="Times New Roman"/>
          <w:sz w:val="24"/>
          <w:szCs w:val="24"/>
        </w:rPr>
        <w:t xml:space="preserve">strengthen clinical validation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{"citationItems":[{"id":"ITEM-1","itemData":{"DOI":"10.1371/JOURNAL.PMED.1002686","ISBN":"1111111111","ISSN":"1549-1676","PMID":"30457988","abstract":"Background Chest radiograph interpretation is critical for the detection of thoracic diseases, including tuberculosis and lung cancer, which affect millions of people worldwide each year. This time-consuming task typically requires expert radiologists to read the images, leading to fatigue-based diagnostic error and lack of diagnostic expertise in areas of the world where radiologists are not available. Recently, deep learning approaches have been able to achieve expert-level performance in medical image interpretation tasks, powered by large network architectures and fueled by the emergence of large labeled datasets. The purpose of this study is to investigate the performance of a deep learning algorithm on the detection of pathologies in chest radiographs compared with practicing radiologists.   Methods and findings We developed CheXNeXt, a convolutional neural network to concurrently detect the presence of 14 different pathologies, including pneumonia, pleural effusion, pulmonary masses, and nodules in frontal-view chest radiographs. CheXNeXt was trained and internally validated on the ChestX-ray8 dataset, with a held-out validation set consisting of 420 images, sampled to contain at least 50 cases of each of the original pathology labels. On this validation set, the majority vote of a panel of 3 board-certified cardiothoracic specialist radiologists served as reference standard. We compared CheXNeXt’s discriminative performance on the validation set to the performance of 9 radiologists using the area under the receiver operating characteristic curve (AUC). The radiologists included 6 board-certified radiologists (average experience 12 years, range 4–28 years) and 3 senior radiology residents, from 3 academic institutions. We found that CheXNeXt achieved radiologist-level performance on 11 pathologies and did not achieve radiologist-level performance on 3 pathologies. The radiologists achieved statistically significantly higher AUC performance on cardiomegaly, emphysema, and hiatal hernia, with AUCs of 0.888 (95% confidence interval [CI] 0.863–0.910), 0.911 (95% CI 0.866–0.947), and 0.985 (95% CI 0.974–0.991), respectively, whereas CheXNeXt’s AUCs were 0.831 (95% CI 0.790–0.870), 0.704 (95% CI 0.567–0.833), and 0.851 (95% CI 0.785–0.909), respectively. CheXNeXt performed better than radiologists in detecting atelectasis, with an AUC of 0.862 (95% CI 0.825–0.895), statistically significantly higher than radiologists' AUC of 0.808 (95% CI 0.777–0.838);…","author":[{"dropping-particle":"","family":"Rajpurkar","given":"Pranav","non-dropping-particle":"","parse-names":false,"suffix":""},{"dropping-particle":"","family":"Irvin","given":"Jeremy","non-dropping-particle":"","parse-names":false,"suffix":""},{"dropping-particle":"","family":"Ball","given":"Robyn L.","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Langlotz","given":"Curtis P.","non-dropping-particle":"","parse-names":false,"suffix":""},{"dropping-particle":"","family":"Patel","given":"Bhavik N.","non-dropping-particle":"","parse-names":false,"suffix":""},{"dropping-particle":"","family":"Yeom","given":"Kristen W.","non-dropping-particle":"","parse-names":false,"suffix":""},{"dropping-particle":"","family":"Shpanskaya","given":"Katie","non-dropping-particle":"","parse-names":false,"suffix":""},{"dropping-particle":"","family":"Blankenberg","given":"Francis G.","non-dropping-particle":"","parse-names":false,"suffix":""},{"dropping-particle":"","family":"Seekins","given":"Jayne","non-dropping-particle":"","parse-names":false,"suffix":""},{"dropping-particle":"","family":"Amrhein","given":"Timothy J.","non-dropping-particle":"","parse-names":false,"suffix":""},{"dropping-particle":"","family":"Mong","given":"David A.","non-dropping-particle":"","parse-names":false,"suffix":""},{"dropping-particle":"","family":"Halabi","given":"Safwan S.","non-dropping-particle":"","parse-names":false,"suffix":""},{"dropping-particle":"","family":"Zucker","given":"Evan J.","non-dropping-particle":"","parse-names":false,"suffix":""},{"dropping-particle":"","family":"Ng","given":"Andrew Y.","non-dropping-particle":"","parse-names":false,"suffix":""},{"dropping-particle":"","family":"Lungren","given":"Matthew P.","non-dropping-particle":"","parse-names":false,"suffix":""}],"container-title":"PLOS Medicine","id":"ITEM-1","issue":"11","issued":{"date-parts":[["2018","11","1"]]},"page":"e1002686","publisher":"Public Library of Science","title":"Deep learning for chest radiograph diagnosis: A retrospective comparison of the CheXNeXt algorithm to practicing radiologists","type":"article-journal","volume":"15"},"uris":["http://www.mendeley.com/documents/?uuid=18dbb737-44d4-3f84-83e0-34a7af9a29f0"]}],"mendeley":{"formattedCitation":"(Rajpurkar et al., 2018)","plainTextFormattedCitation":"(Rajpurkar et al., 2018)","previouslyFormattedCitation":"(Rajpurkar et al., 2018)"},"properties":{"noteIndex":0},"schema":"https://github.com/citation-style-language/schema/raw/master/csl-citation.json"}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(Rajpurkar et al., 2018)</w:t>
      </w:r>
      <w:r w:rsidR="001C2C1B">
        <w:rPr>
          <w:rFonts w:ascii="Times New Roman" w:eastAsia="Times New Roman" w:hAnsi="Times New Roman" w:cs="Times New Roman"/>
          <w:sz w:val="24"/>
          <w:szCs w:val="24"/>
        </w:rPr>
        <w:fldChar w:fldCharType="end"/>
      </w:r>
      <w:r w:rsidRPr="00D210CB">
        <w:rPr>
          <w:rFonts w:ascii="Times New Roman" w:eastAsia="Times New Roman" w:hAnsi="Times New Roman" w:cs="Times New Roman"/>
          <w:sz w:val="24"/>
          <w:szCs w:val="24"/>
        </w:rPr>
        <w:t>.</w:t>
      </w:r>
    </w:p>
    <w:p w:rsidR="00D210CB" w:rsidRPr="00D210CB" w:rsidRDefault="00D210CB" w:rsidP="008B6F3D">
      <w:pPr>
        <w:pStyle w:val="Heading2"/>
      </w:pPr>
      <w:r w:rsidRPr="00D210CB">
        <w:t>4.5 Future Directions</w:t>
      </w:r>
    </w:p>
    <w:p w:rsidR="00D210CB" w:rsidRPr="00D210CB" w:rsidRDefault="00D210CB" w:rsidP="0014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D210CB">
        <w:rPr>
          <w:rFonts w:ascii="Times New Roman" w:eastAsia="Times New Roman" w:hAnsi="Times New Roman" w:cs="Times New Roman"/>
          <w:sz w:val="24"/>
          <w:szCs w:val="24"/>
        </w:rPr>
        <w:t>Future work should focus on: (1) external validation on larger, diverse, multi-institutional datasets, (2) multi-class classification including differential diagnoses, (3) prospective clinical validation with radiologist comparison studies, (4) integration with electronic health records for contextual decision support, and (5) development of segmentation models for precise edema localization.</w:t>
      </w:r>
    </w:p>
    <w:p w:rsidR="00145B92" w:rsidRPr="00145B92" w:rsidRDefault="00145B92" w:rsidP="00193695">
      <w:pPr>
        <w:pStyle w:val="Heading1"/>
        <w:rPr>
          <w:rFonts w:eastAsia="Times New Roman"/>
        </w:rPr>
      </w:pPr>
      <w:r w:rsidRPr="00145B92">
        <w:rPr>
          <w:rFonts w:eastAsia="Times New Roman"/>
        </w:rPr>
        <w:t>5. CONCLUSION</w:t>
      </w:r>
    </w:p>
    <w:p w:rsidR="00D210CB" w:rsidRDefault="00D210CB" w:rsidP="00D21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rsidR="00145B92" w:rsidRPr="00145B92" w:rsidRDefault="00145B92" w:rsidP="0014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145B92">
        <w:rPr>
          <w:rFonts w:ascii="Times New Roman" w:eastAsia="Times New Roman" w:hAnsi="Times New Roman" w:cs="Times New Roman"/>
          <w:sz w:val="24"/>
          <w:szCs w:val="24"/>
        </w:rPr>
        <w:t>We developed an explainable AI model for pulmonary edema detection in chest X-rays using DenseNet121 with Grad-CAM visualizations. The model achieved excellent performance (AUC = 0.917, accuracy = 85.0%, sensitivity = 82.0%, specificity = 88.0%) while providing clinically interpretable attention maps. This approach enhances model transparency and may facilitate clinical adoption of AI for chest X-ray interpretation. Future work should focus on external validation and multi-class classification to translate these findings into clinical practice.</w:t>
      </w:r>
    </w:p>
    <w:p w:rsidR="00E43051" w:rsidRPr="008B6F3D" w:rsidRDefault="00E43051" w:rsidP="008B6F3D">
      <w:pPr>
        <w:pStyle w:val="Heading1"/>
        <w:rPr>
          <w:rFonts w:eastAsia="Times New Roman"/>
          <w:szCs w:val="20"/>
        </w:rPr>
      </w:pPr>
      <w:r w:rsidRPr="00193695">
        <w:t>REFERENCES</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Pr>
          <w:rFonts w:ascii="Times New Roman" w:hAnsi="Times New Roman" w:cs="Times New Roman"/>
          <w:sz w:val="24"/>
        </w:rPr>
        <w:fldChar w:fldCharType="begin" w:fldLock="1"/>
      </w:r>
      <w:r>
        <w:rPr>
          <w:rFonts w:ascii="Times New Roman" w:hAnsi="Times New Roman" w:cs="Times New Roman"/>
          <w:sz w:val="24"/>
        </w:rPr>
        <w:instrText xml:space="preserve">ADDIN Mendeley Bibliography CSL_BIBLIOGRAPHY </w:instrText>
      </w:r>
      <w:r>
        <w:rPr>
          <w:rFonts w:ascii="Times New Roman" w:hAnsi="Times New Roman" w:cs="Times New Roman"/>
          <w:sz w:val="24"/>
        </w:rPr>
        <w:fldChar w:fldCharType="separate"/>
      </w:r>
      <w:r w:rsidRPr="00E43051">
        <w:rPr>
          <w:rFonts w:ascii="Times New Roman" w:hAnsi="Times New Roman" w:cs="Times New Roman"/>
          <w:noProof/>
          <w:sz w:val="24"/>
          <w:szCs w:val="24"/>
        </w:rPr>
        <w:t xml:space="preserve">Arora, A., Alderman, J. E., Palmer, J., Ganapathi, S., Laws, E., McCradden, M. D., Oakden-Rayner, L., Pfohl, S. R., Ghassemi, M., McKay, F., Treanor, D., Rostamzadeh, N., Mateen, B., Gath, J., Adebajo, A. O., Kuku, S., Matin, R., Heller, K., Sapey, E., … Liu, X. (2023). The value of standards for health datasets in artificial intelligence-based applications. </w:t>
      </w:r>
      <w:r w:rsidRPr="00E43051">
        <w:rPr>
          <w:rFonts w:ascii="Times New Roman" w:hAnsi="Times New Roman" w:cs="Times New Roman"/>
          <w:i/>
          <w:iCs/>
          <w:noProof/>
          <w:sz w:val="24"/>
          <w:szCs w:val="24"/>
        </w:rPr>
        <w:t>Nature Medicine 2023 29:11</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29</w:t>
      </w:r>
      <w:r w:rsidRPr="00E43051">
        <w:rPr>
          <w:rFonts w:ascii="Times New Roman" w:hAnsi="Times New Roman" w:cs="Times New Roman"/>
          <w:noProof/>
          <w:sz w:val="24"/>
          <w:szCs w:val="24"/>
        </w:rPr>
        <w:t>(11), 2929–2938. https://doi.org/10.1038/s41591-023-02608-w</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Decuyper, M., Stockhoff, M., Vandenberghe, S., &amp; Ying, X. (2019). </w:t>
      </w:r>
      <w:r w:rsidRPr="00E43051">
        <w:rPr>
          <w:rFonts w:ascii="Times New Roman" w:hAnsi="Times New Roman" w:cs="Times New Roman"/>
          <w:noProof/>
          <w:sz w:val="24"/>
          <w:szCs w:val="24"/>
        </w:rPr>
        <w:lastRenderedPageBreak/>
        <w:t xml:space="preserve">An Overview of Overfitting and its Solutions. </w:t>
      </w:r>
      <w:r w:rsidRPr="00E43051">
        <w:rPr>
          <w:rFonts w:ascii="Times New Roman" w:hAnsi="Times New Roman" w:cs="Times New Roman"/>
          <w:i/>
          <w:iCs/>
          <w:noProof/>
          <w:sz w:val="24"/>
          <w:szCs w:val="24"/>
        </w:rPr>
        <w:t>Journal of Physics: Conference Series</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1168</w:t>
      </w:r>
      <w:r w:rsidRPr="00E43051">
        <w:rPr>
          <w:rFonts w:ascii="Times New Roman" w:hAnsi="Times New Roman" w:cs="Times New Roman"/>
          <w:noProof/>
          <w:sz w:val="24"/>
          <w:szCs w:val="24"/>
        </w:rPr>
        <w:t>(2), 022022. https://doi.org/10.1088/1742-6596/1168/2/022022</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Deng, J., Dong, W., Socher, R., Li, L. J., Li, K., &amp; Fei-Fei, L. (2009). ImageNet: A Large-Scale Hierarchical Image Database. </w:t>
      </w:r>
      <w:r w:rsidRPr="00E43051">
        <w:rPr>
          <w:rFonts w:ascii="Times New Roman" w:hAnsi="Times New Roman" w:cs="Times New Roman"/>
          <w:i/>
          <w:iCs/>
          <w:noProof/>
          <w:sz w:val="24"/>
          <w:szCs w:val="24"/>
        </w:rPr>
        <w:t>2009 IEEE Conference on Computer Vision and Pattern Recognition, CVPR 2009</w:t>
      </w:r>
      <w:r w:rsidRPr="00E43051">
        <w:rPr>
          <w:rFonts w:ascii="Times New Roman" w:hAnsi="Times New Roman" w:cs="Times New Roman"/>
          <w:noProof/>
          <w:sz w:val="24"/>
          <w:szCs w:val="24"/>
        </w:rPr>
        <w:t>, 248–255. https://doi.org/10.1109/CVPR.2009.5206848</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Dietterich, T. G. (2000). Ensemble methods in machine learning. </w:t>
      </w:r>
      <w:r w:rsidRPr="00E43051">
        <w:rPr>
          <w:rFonts w:ascii="Times New Roman" w:hAnsi="Times New Roman" w:cs="Times New Roman"/>
          <w:i/>
          <w:iCs/>
          <w:noProof/>
          <w:sz w:val="24"/>
          <w:szCs w:val="24"/>
        </w:rPr>
        <w:t>Lecture Notes in Computer Science (Including Subseries Lecture Notes in Artificial Intelligence and Lecture Notes in Bioinformatics)</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1857 LNCS</w:t>
      </w:r>
      <w:r w:rsidRPr="00E43051">
        <w:rPr>
          <w:rFonts w:ascii="Times New Roman" w:hAnsi="Times New Roman" w:cs="Times New Roman"/>
          <w:noProof/>
          <w:sz w:val="24"/>
          <w:szCs w:val="24"/>
        </w:rPr>
        <w:t>, 1–15. https://doi.org/10.1007/3-540-45014-9_1/SAVE-RESEARCH</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Esteva, A., Robicquet, A., Ramsundar, B., Kuleshov, V., DePristo, M., Chou, K., Cui, C., Corrado, G., Thrun, S., &amp; Dean, J. (2019). A guide to deep learning in healthcare. </w:t>
      </w:r>
      <w:r w:rsidRPr="00E43051">
        <w:rPr>
          <w:rFonts w:ascii="Times New Roman" w:hAnsi="Times New Roman" w:cs="Times New Roman"/>
          <w:i/>
          <w:iCs/>
          <w:noProof/>
          <w:sz w:val="24"/>
          <w:szCs w:val="24"/>
        </w:rPr>
        <w:t>Nature Medicine 2019 25:1</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25</w:t>
      </w:r>
      <w:r w:rsidRPr="00E43051">
        <w:rPr>
          <w:rFonts w:ascii="Times New Roman" w:hAnsi="Times New Roman" w:cs="Times New Roman"/>
          <w:noProof/>
          <w:sz w:val="24"/>
          <w:szCs w:val="24"/>
        </w:rPr>
        <w:t>(1), 24–29. https://doi.org/10.1038/s41591-018-0316-z</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Hansell, D. M., Bankier, A. A., MacMahon, H., McLoud, T. C., Müller, N. L., &amp; Remy, J. (2008). Fleischner Society: Glossary of terms </w:t>
      </w:r>
      <w:r w:rsidRPr="00E43051">
        <w:rPr>
          <w:rFonts w:ascii="Times New Roman" w:hAnsi="Times New Roman" w:cs="Times New Roman"/>
          <w:noProof/>
          <w:sz w:val="24"/>
          <w:szCs w:val="24"/>
        </w:rPr>
        <w:t xml:space="preserve">for thoracic imaging. </w:t>
      </w:r>
      <w:r w:rsidRPr="00E43051">
        <w:rPr>
          <w:rFonts w:ascii="Times New Roman" w:hAnsi="Times New Roman" w:cs="Times New Roman"/>
          <w:i/>
          <w:iCs/>
          <w:noProof/>
          <w:sz w:val="24"/>
          <w:szCs w:val="24"/>
        </w:rPr>
        <w:t>Radiology</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246</w:t>
      </w:r>
      <w:r w:rsidRPr="00E43051">
        <w:rPr>
          <w:rFonts w:ascii="Times New Roman" w:hAnsi="Times New Roman" w:cs="Times New Roman"/>
          <w:noProof/>
          <w:sz w:val="24"/>
          <w:szCs w:val="24"/>
        </w:rPr>
        <w:t>(3), 697–722. https://doi.org/10.1148/RADIOL.2462070712/ASSET/IMAGES/R08FE34G71X.JPEG</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Huang, G., Maaten, L. Van Der, &amp; Weinberger, K. Q. (2017). Densely Connected Convolutional Networks. </w:t>
      </w:r>
      <w:r w:rsidRPr="00E43051">
        <w:rPr>
          <w:rFonts w:ascii="Times New Roman" w:hAnsi="Times New Roman" w:cs="Times New Roman"/>
          <w:i/>
          <w:iCs/>
          <w:noProof/>
          <w:sz w:val="24"/>
          <w:szCs w:val="24"/>
        </w:rPr>
        <w:t>Proceedings of the IEEE Conference on Computer Vision and Pattern Recognition (CVPR), 2017, Pp.</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109</w:t>
      </w:r>
      <w:r w:rsidRPr="00E43051">
        <w:rPr>
          <w:rFonts w:ascii="Times New Roman" w:hAnsi="Times New Roman" w:cs="Times New Roman"/>
          <w:noProof/>
          <w:sz w:val="24"/>
          <w:szCs w:val="24"/>
        </w:rPr>
        <w:t>(3), 4700–4708.</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Huang, X., Ding, A., Gao, J., Zheng, B., Zhou, D., Qi, X., Tang, R., Wang, J., Ren, C., Nie, W., Chi, X., Xu, Z., Chen, L., Li, Y., Che, F., Pang, N., Wang, H., Tong, D., Qin, W., … He, K. (2021). Enhanced secondary pollution offset reduction of primary emissions during COVID-19 lockdown in China. </w:t>
      </w:r>
      <w:r w:rsidRPr="00E43051">
        <w:rPr>
          <w:rFonts w:ascii="Times New Roman" w:hAnsi="Times New Roman" w:cs="Times New Roman"/>
          <w:i/>
          <w:iCs/>
          <w:noProof/>
          <w:sz w:val="24"/>
          <w:szCs w:val="24"/>
        </w:rPr>
        <w:t>National Science Review</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8</w:t>
      </w:r>
      <w:r w:rsidRPr="00E43051">
        <w:rPr>
          <w:rFonts w:ascii="Times New Roman" w:hAnsi="Times New Roman" w:cs="Times New Roman"/>
          <w:noProof/>
          <w:sz w:val="24"/>
          <w:szCs w:val="24"/>
        </w:rPr>
        <w:t>(2), 2021. https://doi.org/10.1093/NSR/NWAA137</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Kingma, D. P., &amp; Ba, J. L. (2014). Adam: A Method for Stochastic Optimization. </w:t>
      </w:r>
      <w:r w:rsidRPr="00E43051">
        <w:rPr>
          <w:rFonts w:ascii="Times New Roman" w:hAnsi="Times New Roman" w:cs="Times New Roman"/>
          <w:i/>
          <w:iCs/>
          <w:noProof/>
          <w:sz w:val="24"/>
          <w:szCs w:val="24"/>
        </w:rPr>
        <w:t>3rd International Conference on Learning Representations, ICLR 2015 - Conference Track Proceedings</w:t>
      </w:r>
      <w:r w:rsidRPr="00E43051">
        <w:rPr>
          <w:rFonts w:ascii="Times New Roman" w:hAnsi="Times New Roman" w:cs="Times New Roman"/>
          <w:noProof/>
          <w:sz w:val="24"/>
          <w:szCs w:val="24"/>
        </w:rPr>
        <w:t>. https://arxiv.org/abs/1412.6980v9</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Litjens, G., Kooi, T., Bejnordi, B. E., Setio, A. A. A., Ciompi, F., Ghafoorian, M., van der Laak, J. A. </w:t>
      </w:r>
      <w:r w:rsidRPr="00E43051">
        <w:rPr>
          <w:rFonts w:ascii="Times New Roman" w:hAnsi="Times New Roman" w:cs="Times New Roman"/>
          <w:noProof/>
          <w:sz w:val="24"/>
          <w:szCs w:val="24"/>
        </w:rPr>
        <w:lastRenderedPageBreak/>
        <w:t xml:space="preserve">W. M., van Ginneken, B., &amp; Sánchez, C. I. (2017). A survey on deep learning in medical image analysis. </w:t>
      </w:r>
      <w:r w:rsidRPr="00E43051">
        <w:rPr>
          <w:rFonts w:ascii="Times New Roman" w:hAnsi="Times New Roman" w:cs="Times New Roman"/>
          <w:i/>
          <w:iCs/>
          <w:noProof/>
          <w:sz w:val="24"/>
          <w:szCs w:val="24"/>
        </w:rPr>
        <w:t>Medical Image Analysis</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42</w:t>
      </w:r>
      <w:r w:rsidRPr="00E43051">
        <w:rPr>
          <w:rFonts w:ascii="Times New Roman" w:hAnsi="Times New Roman" w:cs="Times New Roman"/>
          <w:noProof/>
          <w:sz w:val="24"/>
          <w:szCs w:val="24"/>
        </w:rPr>
        <w:t>, 60–88. https://doi.org/10.1016/J.MEDIA.2017.07.005</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Milne, E., Pistolesi, M., Miniati, M., Giuntini, C., Milne, E., Pistolesi, M., Miniati, M., &amp; Giuntini, C. (2012). The radiologic distinction of cardiogenic and noncardiogenic edema. </w:t>
      </w:r>
      <w:r w:rsidRPr="00E43051">
        <w:rPr>
          <w:rFonts w:ascii="Times New Roman" w:hAnsi="Times New Roman" w:cs="Times New Roman"/>
          <w:i/>
          <w:iCs/>
          <w:noProof/>
          <w:sz w:val="24"/>
          <w:szCs w:val="24"/>
        </w:rPr>
        <w:t>Https://Www.Ajronline.Org/</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144</w:t>
      </w:r>
      <w:r w:rsidRPr="00E43051">
        <w:rPr>
          <w:rFonts w:ascii="Times New Roman" w:hAnsi="Times New Roman" w:cs="Times New Roman"/>
          <w:noProof/>
          <w:sz w:val="24"/>
          <w:szCs w:val="24"/>
        </w:rPr>
        <w:t>(5), 879–894. https://doi.org/10.2214/AJR.144.5.879</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Prechelt, L. (1998). </w:t>
      </w:r>
      <w:r w:rsidRPr="00E43051">
        <w:rPr>
          <w:rFonts w:ascii="Times New Roman" w:hAnsi="Times New Roman" w:cs="Times New Roman"/>
          <w:i/>
          <w:iCs/>
          <w:noProof/>
          <w:sz w:val="24"/>
          <w:szCs w:val="24"/>
        </w:rPr>
        <w:t>Early Stopping - But When?</w:t>
      </w:r>
      <w:r w:rsidRPr="00E43051">
        <w:rPr>
          <w:rFonts w:ascii="Times New Roman" w:hAnsi="Times New Roman" w:cs="Times New Roman"/>
          <w:noProof/>
          <w:sz w:val="24"/>
          <w:szCs w:val="24"/>
        </w:rPr>
        <w:t xml:space="preserve"> 55–69. https://doi.org/10.1007/3-540-49430-8_3</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Rajpurkar, P., Irvin, J., Ball, R. L., Zhu, K., Yang, B., Mehta, H., Duan, T., Ding, D., Bagul, A., Langlotz, C. P., Patel, B. N., Yeom, K. W., Shpanskaya, K., Blankenberg, F. G., Seekins, J., Amrhein, T. J., Mong, D. A., Halabi, S. S., Zucker, E. J., … Lungren, M. P. (2018). Deep learning for chest radiograph diagnosis: A retrospective comparison of the CheXNeXt algorithm to practicing radiologists. </w:t>
      </w:r>
      <w:r w:rsidRPr="00E43051">
        <w:rPr>
          <w:rFonts w:ascii="Times New Roman" w:hAnsi="Times New Roman" w:cs="Times New Roman"/>
          <w:i/>
          <w:iCs/>
          <w:noProof/>
          <w:sz w:val="24"/>
          <w:szCs w:val="24"/>
        </w:rPr>
        <w:t>PLOS Medicine</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15</w:t>
      </w:r>
      <w:r w:rsidRPr="00E43051">
        <w:rPr>
          <w:rFonts w:ascii="Times New Roman" w:hAnsi="Times New Roman" w:cs="Times New Roman"/>
          <w:noProof/>
          <w:sz w:val="24"/>
          <w:szCs w:val="24"/>
        </w:rPr>
        <w:t>(11), e1002686. https://doi.org/10.1371/JOURNAL.PMED.1002686</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Rajpurkar, P., Irvin, J., Zhu, K., Yang, B., Mehta, H., Duan, T., Ding, D., Bagul, A., Ball, R. L., Langlotz, C., Shpanskaya, K., Lungren, M. P., &amp; Ng, A. Y. (2017). </w:t>
      </w:r>
      <w:r w:rsidRPr="00E43051">
        <w:rPr>
          <w:rFonts w:ascii="Times New Roman" w:hAnsi="Times New Roman" w:cs="Times New Roman"/>
          <w:i/>
          <w:iCs/>
          <w:noProof/>
          <w:sz w:val="24"/>
          <w:szCs w:val="24"/>
        </w:rPr>
        <w:t>CheXNet: Radiologist-Level Pneumonia Detection on Chest X-Rays with Deep Learning</w:t>
      </w:r>
      <w:r w:rsidRPr="00E43051">
        <w:rPr>
          <w:rFonts w:ascii="Times New Roman" w:hAnsi="Times New Roman" w:cs="Times New Roman"/>
          <w:noProof/>
          <w:sz w:val="24"/>
          <w:szCs w:val="24"/>
        </w:rPr>
        <w:t>. https://stanfordmlgroup.</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Samek, W., Montavon, G., Lapuschkin, S., Anders, C. J., &amp; Müller, K. R. (2021). Explaining Deep Neural Networks and Beyond: A Review of Methods and Applications. </w:t>
      </w:r>
      <w:r w:rsidRPr="00E43051">
        <w:rPr>
          <w:rFonts w:ascii="Times New Roman" w:hAnsi="Times New Roman" w:cs="Times New Roman"/>
          <w:i/>
          <w:iCs/>
          <w:noProof/>
          <w:sz w:val="24"/>
          <w:szCs w:val="24"/>
        </w:rPr>
        <w:t>Proceedings of the IEEE</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109</w:t>
      </w:r>
      <w:r w:rsidRPr="00E43051">
        <w:rPr>
          <w:rFonts w:ascii="Times New Roman" w:hAnsi="Times New Roman" w:cs="Times New Roman"/>
          <w:noProof/>
          <w:sz w:val="24"/>
          <w:szCs w:val="24"/>
        </w:rPr>
        <w:t>(3), 247–278. https://doi.org/10.1109/JPROC.2021.3060483</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Samek, W., Wiegand, T., &amp; Müller, K.-R. (n.d.). </w:t>
      </w:r>
      <w:r w:rsidRPr="00E43051">
        <w:rPr>
          <w:rFonts w:ascii="Times New Roman" w:hAnsi="Times New Roman" w:cs="Times New Roman"/>
          <w:i/>
          <w:iCs/>
          <w:noProof/>
          <w:sz w:val="24"/>
          <w:szCs w:val="24"/>
        </w:rPr>
        <w:t>EXPLAINABLE ARTIFICIAL INTELLIGENCE: UNDERSTANDING, VISUALIZING AND INTERPRETING DEEP LEARNING MODELS</w:t>
      </w:r>
      <w:r w:rsidRPr="00E43051">
        <w:rPr>
          <w:rFonts w:ascii="Times New Roman" w:hAnsi="Times New Roman" w:cs="Times New Roman"/>
          <w:noProof/>
          <w:sz w:val="24"/>
          <w:szCs w:val="24"/>
        </w:rPr>
        <w:t>.</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Selvaraju, R. R., Cogswell, M., Das, A., Vedantam, R., Parikh, D., &amp; Batra, D. (2017). </w:t>
      </w:r>
      <w:r w:rsidRPr="00E43051">
        <w:rPr>
          <w:rFonts w:ascii="Times New Roman" w:hAnsi="Times New Roman" w:cs="Times New Roman"/>
          <w:i/>
          <w:iCs/>
          <w:noProof/>
          <w:sz w:val="24"/>
          <w:szCs w:val="24"/>
        </w:rPr>
        <w:t>Grad-CAM: Visual Explanations From Deep Networks via Gradient-Based Localization</w:t>
      </w:r>
      <w:r w:rsidRPr="00E43051">
        <w:rPr>
          <w:rFonts w:ascii="Times New Roman" w:hAnsi="Times New Roman" w:cs="Times New Roman"/>
          <w:noProof/>
          <w:sz w:val="24"/>
          <w:szCs w:val="24"/>
        </w:rPr>
        <w:t xml:space="preserve"> (pp. 618–626). http://gradcam.cloudcv.org</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Selvaraju, R. R., Cogswell, M., Das, A., Vedantam, R., Parikh, D., &amp; Batra, D. (2020). Grad-CAM: Visual Explanations from Deep Networks via Gradient-Based Localization. </w:t>
      </w:r>
      <w:r w:rsidRPr="00E43051">
        <w:rPr>
          <w:rFonts w:ascii="Times New Roman" w:hAnsi="Times New Roman" w:cs="Times New Roman"/>
          <w:i/>
          <w:iCs/>
          <w:noProof/>
          <w:sz w:val="24"/>
          <w:szCs w:val="24"/>
        </w:rPr>
        <w:t xml:space="preserve">International Journal of Computer </w:t>
      </w:r>
      <w:r w:rsidRPr="00E43051">
        <w:rPr>
          <w:rFonts w:ascii="Times New Roman" w:hAnsi="Times New Roman" w:cs="Times New Roman"/>
          <w:i/>
          <w:iCs/>
          <w:noProof/>
          <w:sz w:val="24"/>
          <w:szCs w:val="24"/>
        </w:rPr>
        <w:lastRenderedPageBreak/>
        <w:t>Vision</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128</w:t>
      </w:r>
      <w:r w:rsidRPr="00E43051">
        <w:rPr>
          <w:rFonts w:ascii="Times New Roman" w:hAnsi="Times New Roman" w:cs="Times New Roman"/>
          <w:noProof/>
          <w:sz w:val="24"/>
          <w:szCs w:val="24"/>
        </w:rPr>
        <w:t>(2), 336–359. https://doi.org/10.1007/S11263-019-01228-7/FIGURES/21</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Shorten, C., &amp; Khoshgoftaar, T. M. (2019). A survey on Image Data Augmentation for Deep Learning. </w:t>
      </w:r>
      <w:r w:rsidRPr="00E43051">
        <w:rPr>
          <w:rFonts w:ascii="Times New Roman" w:hAnsi="Times New Roman" w:cs="Times New Roman"/>
          <w:i/>
          <w:iCs/>
          <w:noProof/>
          <w:sz w:val="24"/>
          <w:szCs w:val="24"/>
        </w:rPr>
        <w:t>Journal of Big Data</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6</w:t>
      </w:r>
      <w:r w:rsidRPr="00E43051">
        <w:rPr>
          <w:rFonts w:ascii="Times New Roman" w:hAnsi="Times New Roman" w:cs="Times New Roman"/>
          <w:noProof/>
          <w:sz w:val="24"/>
          <w:szCs w:val="24"/>
        </w:rPr>
        <w:t>(1), 60-. https://doi.org/10.1186/S40537-019-0197-0/FIGURES/33</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Singh, A., Sengupta, S., &amp; Lakshminarayanan, V. (2020). Explainable deep learning models in medical image analysis. In </w:t>
      </w:r>
      <w:r w:rsidRPr="00E43051">
        <w:rPr>
          <w:rFonts w:ascii="Times New Roman" w:hAnsi="Times New Roman" w:cs="Times New Roman"/>
          <w:i/>
          <w:iCs/>
          <w:noProof/>
          <w:sz w:val="24"/>
          <w:szCs w:val="24"/>
        </w:rPr>
        <w:t>Journal of Imaging</w:t>
      </w:r>
      <w:r w:rsidRPr="00E43051">
        <w:rPr>
          <w:rFonts w:ascii="Times New Roman" w:hAnsi="Times New Roman" w:cs="Times New Roman"/>
          <w:noProof/>
          <w:sz w:val="24"/>
          <w:szCs w:val="24"/>
        </w:rPr>
        <w:t xml:space="preserve"> (Vol. 6, Issue 6, p. 52). MDPI AG. https://doi.org/10.3390/JIMAGING6060052</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Sokolova, M., &amp; Lapalme, G. (2009). A systematic analysis of performance measures for classification tasks. </w:t>
      </w:r>
      <w:r w:rsidRPr="00E43051">
        <w:rPr>
          <w:rFonts w:ascii="Times New Roman" w:hAnsi="Times New Roman" w:cs="Times New Roman"/>
          <w:i/>
          <w:iCs/>
          <w:noProof/>
          <w:sz w:val="24"/>
          <w:szCs w:val="24"/>
        </w:rPr>
        <w:t>Information Processing &amp; Management</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45</w:t>
      </w:r>
      <w:r w:rsidRPr="00E43051">
        <w:rPr>
          <w:rFonts w:ascii="Times New Roman" w:hAnsi="Times New Roman" w:cs="Times New Roman"/>
          <w:noProof/>
          <w:sz w:val="24"/>
          <w:szCs w:val="24"/>
        </w:rPr>
        <w:t>(4), 427–437. https://doi.org/10.1016/J.IPM.2009.03.002</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Srivastava, N., Hinton, G., … A. K.-T. journal of machine, &amp; 2014,  undefined. (2014). Dropout: a simple way to prevent neural networks from overfitting. </w:t>
      </w:r>
      <w:r w:rsidRPr="00E43051">
        <w:rPr>
          <w:rFonts w:ascii="Times New Roman" w:hAnsi="Times New Roman" w:cs="Times New Roman"/>
          <w:i/>
          <w:iCs/>
          <w:noProof/>
          <w:sz w:val="24"/>
          <w:szCs w:val="24"/>
        </w:rPr>
        <w:t>Jmlr.Org</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15</w:t>
      </w:r>
      <w:r w:rsidRPr="00E43051">
        <w:rPr>
          <w:rFonts w:ascii="Times New Roman" w:hAnsi="Times New Roman" w:cs="Times New Roman"/>
          <w:noProof/>
          <w:sz w:val="24"/>
          <w:szCs w:val="24"/>
        </w:rPr>
        <w:t>, 1929–1958. https://www.jmlr.org/papers/volume15/srivastava14a/srivastava14a.pdf?utm_content=buffer79b43&amp;utm_medium=social&amp;utm_source=twitter.com&amp;</w:t>
      </w:r>
      <w:r w:rsidRPr="00E43051">
        <w:rPr>
          <w:rFonts w:ascii="Times New Roman" w:hAnsi="Times New Roman" w:cs="Times New Roman"/>
          <w:noProof/>
          <w:sz w:val="24"/>
          <w:szCs w:val="24"/>
        </w:rPr>
        <w:t>utm_campaign=buffer,</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van der Velden, B. H. M., Kuijf, H. J., Gilhuijs, K. G. A., &amp; Viergever, M. A. (2022). Explainable artificial intelligence (XAI) in deep learning-based medical image analysis. </w:t>
      </w:r>
      <w:r w:rsidRPr="00E43051">
        <w:rPr>
          <w:rFonts w:ascii="Times New Roman" w:hAnsi="Times New Roman" w:cs="Times New Roman"/>
          <w:i/>
          <w:iCs/>
          <w:noProof/>
          <w:sz w:val="24"/>
          <w:szCs w:val="24"/>
        </w:rPr>
        <w:t>Medical Image Analysis</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79</w:t>
      </w:r>
      <w:r w:rsidRPr="00E43051">
        <w:rPr>
          <w:rFonts w:ascii="Times New Roman" w:hAnsi="Times New Roman" w:cs="Times New Roman"/>
          <w:noProof/>
          <w:sz w:val="24"/>
          <w:szCs w:val="24"/>
        </w:rPr>
        <w:t>, 102470. https://doi.org/10.1016/J.MEDIA.2022.102470</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Wang, X.,  et al. (2022). (2022). </w:t>
      </w:r>
      <w:r w:rsidRPr="00E43051">
        <w:rPr>
          <w:rFonts w:ascii="Times New Roman" w:hAnsi="Times New Roman" w:cs="Times New Roman"/>
          <w:i/>
          <w:iCs/>
          <w:noProof/>
          <w:sz w:val="24"/>
          <w:szCs w:val="24"/>
        </w:rPr>
        <w:t>Wang, X., et al. (2017). ChestX-ray8: Hospital-scale... - Google Scholar</w:t>
      </w:r>
      <w:r w:rsidRPr="00E43051">
        <w:rPr>
          <w:rFonts w:ascii="Times New Roman" w:hAnsi="Times New Roman" w:cs="Times New Roman"/>
          <w:noProof/>
          <w:sz w:val="24"/>
          <w:szCs w:val="24"/>
        </w:rPr>
        <w:t>. https://scholar.google.com/scholar?hl=en&amp;as_sdt=0%2C5&amp;q=Wang%2C+X.%2C+et+al.+%282017%29.+ChestX-ray8%3A+Hospital-scale+chest+X-ray+database+and+benchmarks+on+weakly-supervised+classification.+CVPR.&amp;btnG=</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Ware, L. B., &amp; Matthay, M. A. (2005). Acute Pulmonary Edema. </w:t>
      </w:r>
      <w:r w:rsidRPr="00E43051">
        <w:rPr>
          <w:rFonts w:ascii="Times New Roman" w:hAnsi="Times New Roman" w:cs="Times New Roman"/>
          <w:i/>
          <w:iCs/>
          <w:noProof/>
          <w:sz w:val="24"/>
          <w:szCs w:val="24"/>
        </w:rPr>
        <w:t>New England Journal of Medicine</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353</w:t>
      </w:r>
      <w:r w:rsidRPr="00E43051">
        <w:rPr>
          <w:rFonts w:ascii="Times New Roman" w:hAnsi="Times New Roman" w:cs="Times New Roman"/>
          <w:noProof/>
          <w:sz w:val="24"/>
          <w:szCs w:val="24"/>
        </w:rPr>
        <w:t>(26), 2788–2796. https://doi.org/10.1056/NEJMCP052699</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rPr>
      </w:pPr>
      <w:r w:rsidRPr="00E43051">
        <w:rPr>
          <w:rFonts w:ascii="Times New Roman" w:hAnsi="Times New Roman" w:cs="Times New Roman"/>
          <w:noProof/>
          <w:sz w:val="24"/>
          <w:szCs w:val="24"/>
        </w:rPr>
        <w:t xml:space="preserve">Yosinski, J., Clune, J., Bengio, Y., &amp; Lipson, H. (2014). How transferable are features in deep neural networks? </w:t>
      </w:r>
      <w:r w:rsidRPr="00E43051">
        <w:rPr>
          <w:rFonts w:ascii="Times New Roman" w:hAnsi="Times New Roman" w:cs="Times New Roman"/>
          <w:i/>
          <w:iCs/>
          <w:noProof/>
          <w:sz w:val="24"/>
          <w:szCs w:val="24"/>
        </w:rPr>
        <w:t>Advances in Neural Information Processing Systems</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27</w:t>
      </w:r>
      <w:r w:rsidRPr="00E43051">
        <w:rPr>
          <w:rFonts w:ascii="Times New Roman" w:hAnsi="Times New Roman" w:cs="Times New Roman"/>
          <w:noProof/>
          <w:sz w:val="24"/>
          <w:szCs w:val="24"/>
        </w:rPr>
        <w:t>.</w:t>
      </w:r>
    </w:p>
    <w:p w:rsidR="00C13908" w:rsidRDefault="00E43051" w:rsidP="00BF1173">
      <w:pPr>
        <w:pStyle w:val="HTMLPreformatted"/>
        <w:spacing w:line="360" w:lineRule="auto"/>
        <w:jc w:val="both"/>
        <w:rPr>
          <w:rFonts w:ascii="Times New Roman" w:hAnsi="Times New Roman" w:cs="Times New Roman"/>
          <w:sz w:val="24"/>
        </w:rPr>
        <w:sectPr w:rsidR="00C13908" w:rsidSect="00C13908">
          <w:type w:val="continuous"/>
          <w:pgSz w:w="11909" w:h="16834" w:code="9"/>
          <w:pgMar w:top="1440" w:right="1440" w:bottom="1440" w:left="1440" w:header="720" w:footer="720" w:gutter="0"/>
          <w:cols w:num="2" w:space="720"/>
          <w:docGrid w:linePitch="360"/>
        </w:sectPr>
      </w:pPr>
      <w:r>
        <w:rPr>
          <w:rFonts w:ascii="Times New Roman" w:hAnsi="Times New Roman" w:cs="Times New Roman"/>
          <w:sz w:val="24"/>
        </w:rPr>
        <w:fldChar w:fldCharType="end"/>
      </w:r>
    </w:p>
    <w:p w:rsidR="00106EA0" w:rsidRPr="00106EA0" w:rsidRDefault="00106EA0" w:rsidP="00BF1173">
      <w:pPr>
        <w:pStyle w:val="HTMLPreformatted"/>
        <w:spacing w:line="360" w:lineRule="auto"/>
        <w:jc w:val="both"/>
        <w:rPr>
          <w:rFonts w:ascii="Times New Roman" w:hAnsi="Times New Roman" w:cs="Times New Roman"/>
          <w:sz w:val="24"/>
        </w:rPr>
      </w:pPr>
    </w:p>
    <w:sectPr w:rsidR="00106EA0" w:rsidRPr="00106EA0" w:rsidSect="008B6F3D">
      <w:type w:val="continuous"/>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043A" w:rsidRDefault="00E1043A" w:rsidP="00D210CB">
      <w:pPr>
        <w:spacing w:after="0" w:line="240" w:lineRule="auto"/>
      </w:pPr>
      <w:r>
        <w:separator/>
      </w:r>
    </w:p>
  </w:endnote>
  <w:endnote w:type="continuationSeparator" w:id="0">
    <w:p w:rsidR="00E1043A" w:rsidRDefault="00E1043A" w:rsidP="00D21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043A" w:rsidRDefault="00E1043A" w:rsidP="00D210CB">
      <w:pPr>
        <w:spacing w:after="0" w:line="240" w:lineRule="auto"/>
      </w:pPr>
      <w:r>
        <w:separator/>
      </w:r>
    </w:p>
  </w:footnote>
  <w:footnote w:type="continuationSeparator" w:id="0">
    <w:p w:rsidR="00E1043A" w:rsidRDefault="00E1043A" w:rsidP="00D210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F4292"/>
    <w:multiLevelType w:val="hybridMultilevel"/>
    <w:tmpl w:val="7FE2A02E"/>
    <w:lvl w:ilvl="0" w:tplc="D2DA6B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81636"/>
    <w:multiLevelType w:val="hybridMultilevel"/>
    <w:tmpl w:val="E4EA9C7A"/>
    <w:lvl w:ilvl="0" w:tplc="F1668A8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075C8"/>
    <w:multiLevelType w:val="hybridMultilevel"/>
    <w:tmpl w:val="6AC6AE24"/>
    <w:lvl w:ilvl="0" w:tplc="4920CD4C">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3F3053"/>
    <w:multiLevelType w:val="hybridMultilevel"/>
    <w:tmpl w:val="2ACA0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97036D"/>
    <w:multiLevelType w:val="hybridMultilevel"/>
    <w:tmpl w:val="271CC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4E2BB4"/>
    <w:multiLevelType w:val="hybridMultilevel"/>
    <w:tmpl w:val="A07058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904250"/>
    <w:multiLevelType w:val="hybridMultilevel"/>
    <w:tmpl w:val="73261D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314FC2"/>
    <w:multiLevelType w:val="hybridMultilevel"/>
    <w:tmpl w:val="B28A00E0"/>
    <w:lvl w:ilvl="0" w:tplc="4CDCFC1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6A4080"/>
    <w:multiLevelType w:val="hybridMultilevel"/>
    <w:tmpl w:val="720236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BC7907"/>
    <w:multiLevelType w:val="hybridMultilevel"/>
    <w:tmpl w:val="C5CA5D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2"/>
  </w:num>
  <w:num w:numId="4">
    <w:abstractNumId w:val="6"/>
  </w:num>
  <w:num w:numId="5">
    <w:abstractNumId w:val="4"/>
  </w:num>
  <w:num w:numId="6">
    <w:abstractNumId w:val="1"/>
  </w:num>
  <w:num w:numId="7">
    <w:abstractNumId w:val="8"/>
  </w:num>
  <w:num w:numId="8">
    <w:abstractNumId w:val="7"/>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347"/>
    <w:rsid w:val="00020891"/>
    <w:rsid w:val="00021997"/>
    <w:rsid w:val="00025D70"/>
    <w:rsid w:val="00045502"/>
    <w:rsid w:val="00061635"/>
    <w:rsid w:val="000A3B3D"/>
    <w:rsid w:val="00106EA0"/>
    <w:rsid w:val="00123645"/>
    <w:rsid w:val="001269BB"/>
    <w:rsid w:val="00145B92"/>
    <w:rsid w:val="00193695"/>
    <w:rsid w:val="001A5344"/>
    <w:rsid w:val="001B0442"/>
    <w:rsid w:val="001C2C1B"/>
    <w:rsid w:val="001C5F83"/>
    <w:rsid w:val="001C6EB4"/>
    <w:rsid w:val="001E0248"/>
    <w:rsid w:val="001E5A10"/>
    <w:rsid w:val="00326347"/>
    <w:rsid w:val="00383E56"/>
    <w:rsid w:val="003C3F45"/>
    <w:rsid w:val="004B56BD"/>
    <w:rsid w:val="00503E3D"/>
    <w:rsid w:val="005A46D7"/>
    <w:rsid w:val="005D1D09"/>
    <w:rsid w:val="00615E99"/>
    <w:rsid w:val="00682FDC"/>
    <w:rsid w:val="006A1187"/>
    <w:rsid w:val="006F57EE"/>
    <w:rsid w:val="00741CB3"/>
    <w:rsid w:val="00770BFF"/>
    <w:rsid w:val="007A67CB"/>
    <w:rsid w:val="007F4B7B"/>
    <w:rsid w:val="008228CF"/>
    <w:rsid w:val="00853524"/>
    <w:rsid w:val="008616B1"/>
    <w:rsid w:val="00883401"/>
    <w:rsid w:val="008B066C"/>
    <w:rsid w:val="008B5CA6"/>
    <w:rsid w:val="008B6F3D"/>
    <w:rsid w:val="008E4717"/>
    <w:rsid w:val="00900907"/>
    <w:rsid w:val="009408DD"/>
    <w:rsid w:val="0095366C"/>
    <w:rsid w:val="00AB6125"/>
    <w:rsid w:val="00AC279C"/>
    <w:rsid w:val="00B34D76"/>
    <w:rsid w:val="00B5435E"/>
    <w:rsid w:val="00BA1ED7"/>
    <w:rsid w:val="00BF1173"/>
    <w:rsid w:val="00BF383F"/>
    <w:rsid w:val="00C13908"/>
    <w:rsid w:val="00D210CB"/>
    <w:rsid w:val="00D2723C"/>
    <w:rsid w:val="00D57DA9"/>
    <w:rsid w:val="00D67D6D"/>
    <w:rsid w:val="00DA0216"/>
    <w:rsid w:val="00E1043A"/>
    <w:rsid w:val="00E31763"/>
    <w:rsid w:val="00E43051"/>
    <w:rsid w:val="00E63348"/>
    <w:rsid w:val="00F42D29"/>
    <w:rsid w:val="00F764FC"/>
    <w:rsid w:val="00FA12CD"/>
    <w:rsid w:val="00FA770B"/>
    <w:rsid w:val="00FB1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4DDE48"/>
  <w15:chartTrackingRefBased/>
  <w15:docId w15:val="{F42F3AA0-0D0E-4E7C-8763-4FABED02E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193695"/>
    <w:pPr>
      <w:keepNext/>
      <w:keepLines/>
      <w:spacing w:before="240" w:after="0" w:line="360" w:lineRule="auto"/>
      <w:outlineLvl w:val="0"/>
    </w:pPr>
    <w:rPr>
      <w:rFonts w:ascii="Times New Roman" w:eastAsiaTheme="majorEastAsia" w:hAnsi="Times New Roman" w:cstheme="majorBidi"/>
      <w:b/>
      <w:sz w:val="24"/>
      <w:szCs w:val="32"/>
    </w:rPr>
  </w:style>
  <w:style w:type="paragraph" w:styleId="Heading2">
    <w:name w:val="heading 2"/>
    <w:basedOn w:val="Normal"/>
    <w:link w:val="Heading2Char"/>
    <w:autoRedefine/>
    <w:uiPriority w:val="9"/>
    <w:qFormat/>
    <w:rsid w:val="008B6F3D"/>
    <w:pPr>
      <w:spacing w:before="100" w:beforeAutospacing="1" w:after="100" w:afterAutospacing="1" w:line="360" w:lineRule="auto"/>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semiHidden/>
    <w:unhideWhenUsed/>
    <w:qFormat/>
    <w:rsid w:val="003C3F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6F3D"/>
    <w:rPr>
      <w:rFonts w:ascii="Times New Roman" w:eastAsia="Times New Roman" w:hAnsi="Times New Roman" w:cs="Times New Roman"/>
      <w:b/>
      <w:bCs/>
      <w:sz w:val="24"/>
      <w:szCs w:val="36"/>
    </w:rPr>
  </w:style>
  <w:style w:type="character" w:styleId="HTMLCode">
    <w:name w:val="HTML Code"/>
    <w:basedOn w:val="DefaultParagraphFont"/>
    <w:uiPriority w:val="99"/>
    <w:semiHidden/>
    <w:unhideWhenUsed/>
    <w:rsid w:val="00326347"/>
    <w:rPr>
      <w:rFonts w:ascii="Courier New" w:eastAsia="Times New Roman" w:hAnsi="Courier New" w:cs="Courier New"/>
      <w:sz w:val="20"/>
      <w:szCs w:val="20"/>
    </w:rPr>
  </w:style>
  <w:style w:type="paragraph" w:styleId="ListParagraph">
    <w:name w:val="List Paragraph"/>
    <w:basedOn w:val="Normal"/>
    <w:uiPriority w:val="34"/>
    <w:qFormat/>
    <w:rsid w:val="001269BB"/>
    <w:pPr>
      <w:ind w:left="720"/>
      <w:contextualSpacing/>
    </w:pPr>
  </w:style>
  <w:style w:type="character" w:customStyle="1" w:styleId="Heading3Char">
    <w:name w:val="Heading 3 Char"/>
    <w:basedOn w:val="DefaultParagraphFont"/>
    <w:link w:val="Heading3"/>
    <w:uiPriority w:val="9"/>
    <w:semiHidden/>
    <w:rsid w:val="003C3F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193695"/>
    <w:rPr>
      <w:rFonts w:ascii="Times New Roman" w:hAnsi="Times New Roman"/>
      <w:b/>
      <w:bCs/>
      <w:sz w:val="24"/>
    </w:rPr>
  </w:style>
  <w:style w:type="paragraph" w:customStyle="1" w:styleId="Style1">
    <w:name w:val="Style1"/>
    <w:basedOn w:val="Heading3"/>
    <w:link w:val="Style1Char"/>
    <w:qFormat/>
    <w:rsid w:val="003C3F45"/>
    <w:rPr>
      <w:rFonts w:ascii="Times New Roman" w:hAnsi="Times New Roman"/>
      <w:color w:val="auto"/>
    </w:rPr>
  </w:style>
  <w:style w:type="character" w:customStyle="1" w:styleId="Heading1Char">
    <w:name w:val="Heading 1 Char"/>
    <w:basedOn w:val="DefaultParagraphFont"/>
    <w:link w:val="Heading1"/>
    <w:uiPriority w:val="9"/>
    <w:rsid w:val="00193695"/>
    <w:rPr>
      <w:rFonts w:ascii="Times New Roman" w:eastAsiaTheme="majorEastAsia" w:hAnsi="Times New Roman" w:cstheme="majorBidi"/>
      <w:b/>
      <w:sz w:val="24"/>
      <w:szCs w:val="32"/>
    </w:rPr>
  </w:style>
  <w:style w:type="character" w:customStyle="1" w:styleId="Style1Char">
    <w:name w:val="Style1 Char"/>
    <w:basedOn w:val="Heading3Char"/>
    <w:link w:val="Style1"/>
    <w:rsid w:val="003C3F45"/>
    <w:rPr>
      <w:rFonts w:ascii="Times New Roman" w:eastAsiaTheme="majorEastAsia" w:hAnsi="Times New Roman" w:cstheme="majorBidi"/>
      <w:color w:val="1F4D78" w:themeColor="accent1" w:themeShade="7F"/>
      <w:sz w:val="24"/>
      <w:szCs w:val="24"/>
    </w:rPr>
  </w:style>
  <w:style w:type="paragraph" w:styleId="HTMLPreformatted">
    <w:name w:val="HTML Preformatted"/>
    <w:basedOn w:val="Normal"/>
    <w:link w:val="HTMLPreformattedChar"/>
    <w:uiPriority w:val="99"/>
    <w:unhideWhenUsed/>
    <w:rsid w:val="003C3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C3F45"/>
    <w:rPr>
      <w:rFonts w:ascii="Courier New" w:eastAsia="Times New Roman" w:hAnsi="Courier New" w:cs="Courier New"/>
      <w:sz w:val="20"/>
      <w:szCs w:val="20"/>
    </w:rPr>
  </w:style>
  <w:style w:type="character" w:customStyle="1" w:styleId="token">
    <w:name w:val="token"/>
    <w:basedOn w:val="DefaultParagraphFont"/>
    <w:rsid w:val="003C3F45"/>
  </w:style>
  <w:style w:type="paragraph" w:styleId="Caption">
    <w:name w:val="caption"/>
    <w:basedOn w:val="Normal"/>
    <w:next w:val="Normal"/>
    <w:uiPriority w:val="35"/>
    <w:unhideWhenUsed/>
    <w:qFormat/>
    <w:rsid w:val="00FB1B35"/>
    <w:pPr>
      <w:spacing w:after="200" w:line="240" w:lineRule="auto"/>
    </w:pPr>
    <w:rPr>
      <w:i/>
      <w:iCs/>
      <w:color w:val="44546A" w:themeColor="text2"/>
      <w:sz w:val="18"/>
      <w:szCs w:val="18"/>
    </w:rPr>
  </w:style>
  <w:style w:type="table" w:styleId="TableGrid">
    <w:name w:val="Table Grid"/>
    <w:basedOn w:val="TableNormal"/>
    <w:uiPriority w:val="39"/>
    <w:rsid w:val="00853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10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10CB"/>
  </w:style>
  <w:style w:type="paragraph" w:styleId="Footer">
    <w:name w:val="footer"/>
    <w:basedOn w:val="Normal"/>
    <w:link w:val="FooterChar"/>
    <w:uiPriority w:val="99"/>
    <w:unhideWhenUsed/>
    <w:rsid w:val="00D210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2409">
      <w:bodyDiv w:val="1"/>
      <w:marLeft w:val="0"/>
      <w:marRight w:val="0"/>
      <w:marTop w:val="0"/>
      <w:marBottom w:val="0"/>
      <w:divBdr>
        <w:top w:val="none" w:sz="0" w:space="0" w:color="auto"/>
        <w:left w:val="none" w:sz="0" w:space="0" w:color="auto"/>
        <w:bottom w:val="none" w:sz="0" w:space="0" w:color="auto"/>
        <w:right w:val="none" w:sz="0" w:space="0" w:color="auto"/>
      </w:divBdr>
    </w:div>
    <w:div w:id="18748456">
      <w:bodyDiv w:val="1"/>
      <w:marLeft w:val="0"/>
      <w:marRight w:val="0"/>
      <w:marTop w:val="0"/>
      <w:marBottom w:val="0"/>
      <w:divBdr>
        <w:top w:val="none" w:sz="0" w:space="0" w:color="auto"/>
        <w:left w:val="none" w:sz="0" w:space="0" w:color="auto"/>
        <w:bottom w:val="none" w:sz="0" w:space="0" w:color="auto"/>
        <w:right w:val="none" w:sz="0" w:space="0" w:color="auto"/>
      </w:divBdr>
    </w:div>
    <w:div w:id="104083362">
      <w:bodyDiv w:val="1"/>
      <w:marLeft w:val="0"/>
      <w:marRight w:val="0"/>
      <w:marTop w:val="0"/>
      <w:marBottom w:val="0"/>
      <w:divBdr>
        <w:top w:val="none" w:sz="0" w:space="0" w:color="auto"/>
        <w:left w:val="none" w:sz="0" w:space="0" w:color="auto"/>
        <w:bottom w:val="none" w:sz="0" w:space="0" w:color="auto"/>
        <w:right w:val="none" w:sz="0" w:space="0" w:color="auto"/>
      </w:divBdr>
    </w:div>
    <w:div w:id="111675293">
      <w:bodyDiv w:val="1"/>
      <w:marLeft w:val="0"/>
      <w:marRight w:val="0"/>
      <w:marTop w:val="0"/>
      <w:marBottom w:val="0"/>
      <w:divBdr>
        <w:top w:val="none" w:sz="0" w:space="0" w:color="auto"/>
        <w:left w:val="none" w:sz="0" w:space="0" w:color="auto"/>
        <w:bottom w:val="none" w:sz="0" w:space="0" w:color="auto"/>
        <w:right w:val="none" w:sz="0" w:space="0" w:color="auto"/>
      </w:divBdr>
    </w:div>
    <w:div w:id="121845519">
      <w:bodyDiv w:val="1"/>
      <w:marLeft w:val="0"/>
      <w:marRight w:val="0"/>
      <w:marTop w:val="0"/>
      <w:marBottom w:val="0"/>
      <w:divBdr>
        <w:top w:val="none" w:sz="0" w:space="0" w:color="auto"/>
        <w:left w:val="none" w:sz="0" w:space="0" w:color="auto"/>
        <w:bottom w:val="none" w:sz="0" w:space="0" w:color="auto"/>
        <w:right w:val="none" w:sz="0" w:space="0" w:color="auto"/>
      </w:divBdr>
    </w:div>
    <w:div w:id="140317716">
      <w:bodyDiv w:val="1"/>
      <w:marLeft w:val="0"/>
      <w:marRight w:val="0"/>
      <w:marTop w:val="0"/>
      <w:marBottom w:val="0"/>
      <w:divBdr>
        <w:top w:val="none" w:sz="0" w:space="0" w:color="auto"/>
        <w:left w:val="none" w:sz="0" w:space="0" w:color="auto"/>
        <w:bottom w:val="none" w:sz="0" w:space="0" w:color="auto"/>
        <w:right w:val="none" w:sz="0" w:space="0" w:color="auto"/>
      </w:divBdr>
    </w:div>
    <w:div w:id="143209289">
      <w:bodyDiv w:val="1"/>
      <w:marLeft w:val="0"/>
      <w:marRight w:val="0"/>
      <w:marTop w:val="0"/>
      <w:marBottom w:val="0"/>
      <w:divBdr>
        <w:top w:val="none" w:sz="0" w:space="0" w:color="auto"/>
        <w:left w:val="none" w:sz="0" w:space="0" w:color="auto"/>
        <w:bottom w:val="none" w:sz="0" w:space="0" w:color="auto"/>
        <w:right w:val="none" w:sz="0" w:space="0" w:color="auto"/>
      </w:divBdr>
    </w:div>
    <w:div w:id="157160405">
      <w:bodyDiv w:val="1"/>
      <w:marLeft w:val="0"/>
      <w:marRight w:val="0"/>
      <w:marTop w:val="0"/>
      <w:marBottom w:val="0"/>
      <w:divBdr>
        <w:top w:val="none" w:sz="0" w:space="0" w:color="auto"/>
        <w:left w:val="none" w:sz="0" w:space="0" w:color="auto"/>
        <w:bottom w:val="none" w:sz="0" w:space="0" w:color="auto"/>
        <w:right w:val="none" w:sz="0" w:space="0" w:color="auto"/>
      </w:divBdr>
    </w:div>
    <w:div w:id="192420417">
      <w:bodyDiv w:val="1"/>
      <w:marLeft w:val="0"/>
      <w:marRight w:val="0"/>
      <w:marTop w:val="0"/>
      <w:marBottom w:val="0"/>
      <w:divBdr>
        <w:top w:val="none" w:sz="0" w:space="0" w:color="auto"/>
        <w:left w:val="none" w:sz="0" w:space="0" w:color="auto"/>
        <w:bottom w:val="none" w:sz="0" w:space="0" w:color="auto"/>
        <w:right w:val="none" w:sz="0" w:space="0" w:color="auto"/>
      </w:divBdr>
    </w:div>
    <w:div w:id="216749512">
      <w:bodyDiv w:val="1"/>
      <w:marLeft w:val="0"/>
      <w:marRight w:val="0"/>
      <w:marTop w:val="0"/>
      <w:marBottom w:val="0"/>
      <w:divBdr>
        <w:top w:val="none" w:sz="0" w:space="0" w:color="auto"/>
        <w:left w:val="none" w:sz="0" w:space="0" w:color="auto"/>
        <w:bottom w:val="none" w:sz="0" w:space="0" w:color="auto"/>
        <w:right w:val="none" w:sz="0" w:space="0" w:color="auto"/>
      </w:divBdr>
    </w:div>
    <w:div w:id="243926684">
      <w:bodyDiv w:val="1"/>
      <w:marLeft w:val="0"/>
      <w:marRight w:val="0"/>
      <w:marTop w:val="0"/>
      <w:marBottom w:val="0"/>
      <w:divBdr>
        <w:top w:val="none" w:sz="0" w:space="0" w:color="auto"/>
        <w:left w:val="none" w:sz="0" w:space="0" w:color="auto"/>
        <w:bottom w:val="none" w:sz="0" w:space="0" w:color="auto"/>
        <w:right w:val="none" w:sz="0" w:space="0" w:color="auto"/>
      </w:divBdr>
    </w:div>
    <w:div w:id="304821530">
      <w:bodyDiv w:val="1"/>
      <w:marLeft w:val="0"/>
      <w:marRight w:val="0"/>
      <w:marTop w:val="0"/>
      <w:marBottom w:val="0"/>
      <w:divBdr>
        <w:top w:val="none" w:sz="0" w:space="0" w:color="auto"/>
        <w:left w:val="none" w:sz="0" w:space="0" w:color="auto"/>
        <w:bottom w:val="none" w:sz="0" w:space="0" w:color="auto"/>
        <w:right w:val="none" w:sz="0" w:space="0" w:color="auto"/>
      </w:divBdr>
    </w:div>
    <w:div w:id="307978312">
      <w:bodyDiv w:val="1"/>
      <w:marLeft w:val="0"/>
      <w:marRight w:val="0"/>
      <w:marTop w:val="0"/>
      <w:marBottom w:val="0"/>
      <w:divBdr>
        <w:top w:val="none" w:sz="0" w:space="0" w:color="auto"/>
        <w:left w:val="none" w:sz="0" w:space="0" w:color="auto"/>
        <w:bottom w:val="none" w:sz="0" w:space="0" w:color="auto"/>
        <w:right w:val="none" w:sz="0" w:space="0" w:color="auto"/>
      </w:divBdr>
    </w:div>
    <w:div w:id="311299105">
      <w:bodyDiv w:val="1"/>
      <w:marLeft w:val="0"/>
      <w:marRight w:val="0"/>
      <w:marTop w:val="0"/>
      <w:marBottom w:val="0"/>
      <w:divBdr>
        <w:top w:val="none" w:sz="0" w:space="0" w:color="auto"/>
        <w:left w:val="none" w:sz="0" w:space="0" w:color="auto"/>
        <w:bottom w:val="none" w:sz="0" w:space="0" w:color="auto"/>
        <w:right w:val="none" w:sz="0" w:space="0" w:color="auto"/>
      </w:divBdr>
    </w:div>
    <w:div w:id="357699466">
      <w:bodyDiv w:val="1"/>
      <w:marLeft w:val="0"/>
      <w:marRight w:val="0"/>
      <w:marTop w:val="0"/>
      <w:marBottom w:val="0"/>
      <w:divBdr>
        <w:top w:val="none" w:sz="0" w:space="0" w:color="auto"/>
        <w:left w:val="none" w:sz="0" w:space="0" w:color="auto"/>
        <w:bottom w:val="none" w:sz="0" w:space="0" w:color="auto"/>
        <w:right w:val="none" w:sz="0" w:space="0" w:color="auto"/>
      </w:divBdr>
    </w:div>
    <w:div w:id="399639739">
      <w:bodyDiv w:val="1"/>
      <w:marLeft w:val="0"/>
      <w:marRight w:val="0"/>
      <w:marTop w:val="0"/>
      <w:marBottom w:val="0"/>
      <w:divBdr>
        <w:top w:val="none" w:sz="0" w:space="0" w:color="auto"/>
        <w:left w:val="none" w:sz="0" w:space="0" w:color="auto"/>
        <w:bottom w:val="none" w:sz="0" w:space="0" w:color="auto"/>
        <w:right w:val="none" w:sz="0" w:space="0" w:color="auto"/>
      </w:divBdr>
    </w:div>
    <w:div w:id="405884604">
      <w:bodyDiv w:val="1"/>
      <w:marLeft w:val="0"/>
      <w:marRight w:val="0"/>
      <w:marTop w:val="0"/>
      <w:marBottom w:val="0"/>
      <w:divBdr>
        <w:top w:val="none" w:sz="0" w:space="0" w:color="auto"/>
        <w:left w:val="none" w:sz="0" w:space="0" w:color="auto"/>
        <w:bottom w:val="none" w:sz="0" w:space="0" w:color="auto"/>
        <w:right w:val="none" w:sz="0" w:space="0" w:color="auto"/>
      </w:divBdr>
    </w:div>
    <w:div w:id="413629691">
      <w:bodyDiv w:val="1"/>
      <w:marLeft w:val="0"/>
      <w:marRight w:val="0"/>
      <w:marTop w:val="0"/>
      <w:marBottom w:val="0"/>
      <w:divBdr>
        <w:top w:val="none" w:sz="0" w:space="0" w:color="auto"/>
        <w:left w:val="none" w:sz="0" w:space="0" w:color="auto"/>
        <w:bottom w:val="none" w:sz="0" w:space="0" w:color="auto"/>
        <w:right w:val="none" w:sz="0" w:space="0" w:color="auto"/>
      </w:divBdr>
    </w:div>
    <w:div w:id="418872282">
      <w:bodyDiv w:val="1"/>
      <w:marLeft w:val="0"/>
      <w:marRight w:val="0"/>
      <w:marTop w:val="0"/>
      <w:marBottom w:val="0"/>
      <w:divBdr>
        <w:top w:val="none" w:sz="0" w:space="0" w:color="auto"/>
        <w:left w:val="none" w:sz="0" w:space="0" w:color="auto"/>
        <w:bottom w:val="none" w:sz="0" w:space="0" w:color="auto"/>
        <w:right w:val="none" w:sz="0" w:space="0" w:color="auto"/>
      </w:divBdr>
    </w:div>
    <w:div w:id="433595294">
      <w:bodyDiv w:val="1"/>
      <w:marLeft w:val="0"/>
      <w:marRight w:val="0"/>
      <w:marTop w:val="0"/>
      <w:marBottom w:val="0"/>
      <w:divBdr>
        <w:top w:val="none" w:sz="0" w:space="0" w:color="auto"/>
        <w:left w:val="none" w:sz="0" w:space="0" w:color="auto"/>
        <w:bottom w:val="none" w:sz="0" w:space="0" w:color="auto"/>
        <w:right w:val="none" w:sz="0" w:space="0" w:color="auto"/>
      </w:divBdr>
    </w:div>
    <w:div w:id="449740334">
      <w:bodyDiv w:val="1"/>
      <w:marLeft w:val="0"/>
      <w:marRight w:val="0"/>
      <w:marTop w:val="0"/>
      <w:marBottom w:val="0"/>
      <w:divBdr>
        <w:top w:val="none" w:sz="0" w:space="0" w:color="auto"/>
        <w:left w:val="none" w:sz="0" w:space="0" w:color="auto"/>
        <w:bottom w:val="none" w:sz="0" w:space="0" w:color="auto"/>
        <w:right w:val="none" w:sz="0" w:space="0" w:color="auto"/>
      </w:divBdr>
    </w:div>
    <w:div w:id="451871201">
      <w:bodyDiv w:val="1"/>
      <w:marLeft w:val="0"/>
      <w:marRight w:val="0"/>
      <w:marTop w:val="0"/>
      <w:marBottom w:val="0"/>
      <w:divBdr>
        <w:top w:val="none" w:sz="0" w:space="0" w:color="auto"/>
        <w:left w:val="none" w:sz="0" w:space="0" w:color="auto"/>
        <w:bottom w:val="none" w:sz="0" w:space="0" w:color="auto"/>
        <w:right w:val="none" w:sz="0" w:space="0" w:color="auto"/>
      </w:divBdr>
    </w:div>
    <w:div w:id="466581659">
      <w:bodyDiv w:val="1"/>
      <w:marLeft w:val="0"/>
      <w:marRight w:val="0"/>
      <w:marTop w:val="0"/>
      <w:marBottom w:val="0"/>
      <w:divBdr>
        <w:top w:val="none" w:sz="0" w:space="0" w:color="auto"/>
        <w:left w:val="none" w:sz="0" w:space="0" w:color="auto"/>
        <w:bottom w:val="none" w:sz="0" w:space="0" w:color="auto"/>
        <w:right w:val="none" w:sz="0" w:space="0" w:color="auto"/>
      </w:divBdr>
    </w:div>
    <w:div w:id="558171709">
      <w:bodyDiv w:val="1"/>
      <w:marLeft w:val="0"/>
      <w:marRight w:val="0"/>
      <w:marTop w:val="0"/>
      <w:marBottom w:val="0"/>
      <w:divBdr>
        <w:top w:val="none" w:sz="0" w:space="0" w:color="auto"/>
        <w:left w:val="none" w:sz="0" w:space="0" w:color="auto"/>
        <w:bottom w:val="none" w:sz="0" w:space="0" w:color="auto"/>
        <w:right w:val="none" w:sz="0" w:space="0" w:color="auto"/>
      </w:divBdr>
    </w:div>
    <w:div w:id="581335511">
      <w:bodyDiv w:val="1"/>
      <w:marLeft w:val="0"/>
      <w:marRight w:val="0"/>
      <w:marTop w:val="0"/>
      <w:marBottom w:val="0"/>
      <w:divBdr>
        <w:top w:val="none" w:sz="0" w:space="0" w:color="auto"/>
        <w:left w:val="none" w:sz="0" w:space="0" w:color="auto"/>
        <w:bottom w:val="none" w:sz="0" w:space="0" w:color="auto"/>
        <w:right w:val="none" w:sz="0" w:space="0" w:color="auto"/>
      </w:divBdr>
    </w:div>
    <w:div w:id="592933642">
      <w:bodyDiv w:val="1"/>
      <w:marLeft w:val="0"/>
      <w:marRight w:val="0"/>
      <w:marTop w:val="0"/>
      <w:marBottom w:val="0"/>
      <w:divBdr>
        <w:top w:val="none" w:sz="0" w:space="0" w:color="auto"/>
        <w:left w:val="none" w:sz="0" w:space="0" w:color="auto"/>
        <w:bottom w:val="none" w:sz="0" w:space="0" w:color="auto"/>
        <w:right w:val="none" w:sz="0" w:space="0" w:color="auto"/>
      </w:divBdr>
    </w:div>
    <w:div w:id="609746966">
      <w:bodyDiv w:val="1"/>
      <w:marLeft w:val="0"/>
      <w:marRight w:val="0"/>
      <w:marTop w:val="0"/>
      <w:marBottom w:val="0"/>
      <w:divBdr>
        <w:top w:val="none" w:sz="0" w:space="0" w:color="auto"/>
        <w:left w:val="none" w:sz="0" w:space="0" w:color="auto"/>
        <w:bottom w:val="none" w:sz="0" w:space="0" w:color="auto"/>
        <w:right w:val="none" w:sz="0" w:space="0" w:color="auto"/>
      </w:divBdr>
    </w:div>
    <w:div w:id="622269346">
      <w:bodyDiv w:val="1"/>
      <w:marLeft w:val="0"/>
      <w:marRight w:val="0"/>
      <w:marTop w:val="0"/>
      <w:marBottom w:val="0"/>
      <w:divBdr>
        <w:top w:val="none" w:sz="0" w:space="0" w:color="auto"/>
        <w:left w:val="none" w:sz="0" w:space="0" w:color="auto"/>
        <w:bottom w:val="none" w:sz="0" w:space="0" w:color="auto"/>
        <w:right w:val="none" w:sz="0" w:space="0" w:color="auto"/>
      </w:divBdr>
    </w:div>
    <w:div w:id="651835517">
      <w:bodyDiv w:val="1"/>
      <w:marLeft w:val="0"/>
      <w:marRight w:val="0"/>
      <w:marTop w:val="0"/>
      <w:marBottom w:val="0"/>
      <w:divBdr>
        <w:top w:val="none" w:sz="0" w:space="0" w:color="auto"/>
        <w:left w:val="none" w:sz="0" w:space="0" w:color="auto"/>
        <w:bottom w:val="none" w:sz="0" w:space="0" w:color="auto"/>
        <w:right w:val="none" w:sz="0" w:space="0" w:color="auto"/>
      </w:divBdr>
    </w:div>
    <w:div w:id="671682791">
      <w:bodyDiv w:val="1"/>
      <w:marLeft w:val="0"/>
      <w:marRight w:val="0"/>
      <w:marTop w:val="0"/>
      <w:marBottom w:val="0"/>
      <w:divBdr>
        <w:top w:val="none" w:sz="0" w:space="0" w:color="auto"/>
        <w:left w:val="none" w:sz="0" w:space="0" w:color="auto"/>
        <w:bottom w:val="none" w:sz="0" w:space="0" w:color="auto"/>
        <w:right w:val="none" w:sz="0" w:space="0" w:color="auto"/>
      </w:divBdr>
    </w:div>
    <w:div w:id="672493619">
      <w:bodyDiv w:val="1"/>
      <w:marLeft w:val="0"/>
      <w:marRight w:val="0"/>
      <w:marTop w:val="0"/>
      <w:marBottom w:val="0"/>
      <w:divBdr>
        <w:top w:val="none" w:sz="0" w:space="0" w:color="auto"/>
        <w:left w:val="none" w:sz="0" w:space="0" w:color="auto"/>
        <w:bottom w:val="none" w:sz="0" w:space="0" w:color="auto"/>
        <w:right w:val="none" w:sz="0" w:space="0" w:color="auto"/>
      </w:divBdr>
    </w:div>
    <w:div w:id="736711753">
      <w:bodyDiv w:val="1"/>
      <w:marLeft w:val="0"/>
      <w:marRight w:val="0"/>
      <w:marTop w:val="0"/>
      <w:marBottom w:val="0"/>
      <w:divBdr>
        <w:top w:val="none" w:sz="0" w:space="0" w:color="auto"/>
        <w:left w:val="none" w:sz="0" w:space="0" w:color="auto"/>
        <w:bottom w:val="none" w:sz="0" w:space="0" w:color="auto"/>
        <w:right w:val="none" w:sz="0" w:space="0" w:color="auto"/>
      </w:divBdr>
    </w:div>
    <w:div w:id="742920588">
      <w:bodyDiv w:val="1"/>
      <w:marLeft w:val="0"/>
      <w:marRight w:val="0"/>
      <w:marTop w:val="0"/>
      <w:marBottom w:val="0"/>
      <w:divBdr>
        <w:top w:val="none" w:sz="0" w:space="0" w:color="auto"/>
        <w:left w:val="none" w:sz="0" w:space="0" w:color="auto"/>
        <w:bottom w:val="none" w:sz="0" w:space="0" w:color="auto"/>
        <w:right w:val="none" w:sz="0" w:space="0" w:color="auto"/>
      </w:divBdr>
    </w:div>
    <w:div w:id="748312382">
      <w:bodyDiv w:val="1"/>
      <w:marLeft w:val="0"/>
      <w:marRight w:val="0"/>
      <w:marTop w:val="0"/>
      <w:marBottom w:val="0"/>
      <w:divBdr>
        <w:top w:val="none" w:sz="0" w:space="0" w:color="auto"/>
        <w:left w:val="none" w:sz="0" w:space="0" w:color="auto"/>
        <w:bottom w:val="none" w:sz="0" w:space="0" w:color="auto"/>
        <w:right w:val="none" w:sz="0" w:space="0" w:color="auto"/>
      </w:divBdr>
    </w:div>
    <w:div w:id="757824754">
      <w:bodyDiv w:val="1"/>
      <w:marLeft w:val="0"/>
      <w:marRight w:val="0"/>
      <w:marTop w:val="0"/>
      <w:marBottom w:val="0"/>
      <w:divBdr>
        <w:top w:val="none" w:sz="0" w:space="0" w:color="auto"/>
        <w:left w:val="none" w:sz="0" w:space="0" w:color="auto"/>
        <w:bottom w:val="none" w:sz="0" w:space="0" w:color="auto"/>
        <w:right w:val="none" w:sz="0" w:space="0" w:color="auto"/>
      </w:divBdr>
    </w:div>
    <w:div w:id="793788551">
      <w:bodyDiv w:val="1"/>
      <w:marLeft w:val="0"/>
      <w:marRight w:val="0"/>
      <w:marTop w:val="0"/>
      <w:marBottom w:val="0"/>
      <w:divBdr>
        <w:top w:val="none" w:sz="0" w:space="0" w:color="auto"/>
        <w:left w:val="none" w:sz="0" w:space="0" w:color="auto"/>
        <w:bottom w:val="none" w:sz="0" w:space="0" w:color="auto"/>
        <w:right w:val="none" w:sz="0" w:space="0" w:color="auto"/>
      </w:divBdr>
    </w:div>
    <w:div w:id="851723573">
      <w:bodyDiv w:val="1"/>
      <w:marLeft w:val="0"/>
      <w:marRight w:val="0"/>
      <w:marTop w:val="0"/>
      <w:marBottom w:val="0"/>
      <w:divBdr>
        <w:top w:val="none" w:sz="0" w:space="0" w:color="auto"/>
        <w:left w:val="none" w:sz="0" w:space="0" w:color="auto"/>
        <w:bottom w:val="none" w:sz="0" w:space="0" w:color="auto"/>
        <w:right w:val="none" w:sz="0" w:space="0" w:color="auto"/>
      </w:divBdr>
    </w:div>
    <w:div w:id="863976863">
      <w:bodyDiv w:val="1"/>
      <w:marLeft w:val="0"/>
      <w:marRight w:val="0"/>
      <w:marTop w:val="0"/>
      <w:marBottom w:val="0"/>
      <w:divBdr>
        <w:top w:val="none" w:sz="0" w:space="0" w:color="auto"/>
        <w:left w:val="none" w:sz="0" w:space="0" w:color="auto"/>
        <w:bottom w:val="none" w:sz="0" w:space="0" w:color="auto"/>
        <w:right w:val="none" w:sz="0" w:space="0" w:color="auto"/>
      </w:divBdr>
    </w:div>
    <w:div w:id="879167499">
      <w:bodyDiv w:val="1"/>
      <w:marLeft w:val="0"/>
      <w:marRight w:val="0"/>
      <w:marTop w:val="0"/>
      <w:marBottom w:val="0"/>
      <w:divBdr>
        <w:top w:val="none" w:sz="0" w:space="0" w:color="auto"/>
        <w:left w:val="none" w:sz="0" w:space="0" w:color="auto"/>
        <w:bottom w:val="none" w:sz="0" w:space="0" w:color="auto"/>
        <w:right w:val="none" w:sz="0" w:space="0" w:color="auto"/>
      </w:divBdr>
    </w:div>
    <w:div w:id="881595387">
      <w:bodyDiv w:val="1"/>
      <w:marLeft w:val="0"/>
      <w:marRight w:val="0"/>
      <w:marTop w:val="0"/>
      <w:marBottom w:val="0"/>
      <w:divBdr>
        <w:top w:val="none" w:sz="0" w:space="0" w:color="auto"/>
        <w:left w:val="none" w:sz="0" w:space="0" w:color="auto"/>
        <w:bottom w:val="none" w:sz="0" w:space="0" w:color="auto"/>
        <w:right w:val="none" w:sz="0" w:space="0" w:color="auto"/>
      </w:divBdr>
    </w:div>
    <w:div w:id="920025157">
      <w:bodyDiv w:val="1"/>
      <w:marLeft w:val="0"/>
      <w:marRight w:val="0"/>
      <w:marTop w:val="0"/>
      <w:marBottom w:val="0"/>
      <w:divBdr>
        <w:top w:val="none" w:sz="0" w:space="0" w:color="auto"/>
        <w:left w:val="none" w:sz="0" w:space="0" w:color="auto"/>
        <w:bottom w:val="none" w:sz="0" w:space="0" w:color="auto"/>
        <w:right w:val="none" w:sz="0" w:space="0" w:color="auto"/>
      </w:divBdr>
    </w:div>
    <w:div w:id="975375971">
      <w:bodyDiv w:val="1"/>
      <w:marLeft w:val="0"/>
      <w:marRight w:val="0"/>
      <w:marTop w:val="0"/>
      <w:marBottom w:val="0"/>
      <w:divBdr>
        <w:top w:val="none" w:sz="0" w:space="0" w:color="auto"/>
        <w:left w:val="none" w:sz="0" w:space="0" w:color="auto"/>
        <w:bottom w:val="none" w:sz="0" w:space="0" w:color="auto"/>
        <w:right w:val="none" w:sz="0" w:space="0" w:color="auto"/>
      </w:divBdr>
    </w:div>
    <w:div w:id="980773293">
      <w:bodyDiv w:val="1"/>
      <w:marLeft w:val="0"/>
      <w:marRight w:val="0"/>
      <w:marTop w:val="0"/>
      <w:marBottom w:val="0"/>
      <w:divBdr>
        <w:top w:val="none" w:sz="0" w:space="0" w:color="auto"/>
        <w:left w:val="none" w:sz="0" w:space="0" w:color="auto"/>
        <w:bottom w:val="none" w:sz="0" w:space="0" w:color="auto"/>
        <w:right w:val="none" w:sz="0" w:space="0" w:color="auto"/>
      </w:divBdr>
    </w:div>
    <w:div w:id="1015350879">
      <w:bodyDiv w:val="1"/>
      <w:marLeft w:val="0"/>
      <w:marRight w:val="0"/>
      <w:marTop w:val="0"/>
      <w:marBottom w:val="0"/>
      <w:divBdr>
        <w:top w:val="none" w:sz="0" w:space="0" w:color="auto"/>
        <w:left w:val="none" w:sz="0" w:space="0" w:color="auto"/>
        <w:bottom w:val="none" w:sz="0" w:space="0" w:color="auto"/>
        <w:right w:val="none" w:sz="0" w:space="0" w:color="auto"/>
      </w:divBdr>
    </w:div>
    <w:div w:id="1024943271">
      <w:bodyDiv w:val="1"/>
      <w:marLeft w:val="0"/>
      <w:marRight w:val="0"/>
      <w:marTop w:val="0"/>
      <w:marBottom w:val="0"/>
      <w:divBdr>
        <w:top w:val="none" w:sz="0" w:space="0" w:color="auto"/>
        <w:left w:val="none" w:sz="0" w:space="0" w:color="auto"/>
        <w:bottom w:val="none" w:sz="0" w:space="0" w:color="auto"/>
        <w:right w:val="none" w:sz="0" w:space="0" w:color="auto"/>
      </w:divBdr>
    </w:div>
    <w:div w:id="1076434975">
      <w:bodyDiv w:val="1"/>
      <w:marLeft w:val="0"/>
      <w:marRight w:val="0"/>
      <w:marTop w:val="0"/>
      <w:marBottom w:val="0"/>
      <w:divBdr>
        <w:top w:val="none" w:sz="0" w:space="0" w:color="auto"/>
        <w:left w:val="none" w:sz="0" w:space="0" w:color="auto"/>
        <w:bottom w:val="none" w:sz="0" w:space="0" w:color="auto"/>
        <w:right w:val="none" w:sz="0" w:space="0" w:color="auto"/>
      </w:divBdr>
    </w:div>
    <w:div w:id="1102922898">
      <w:bodyDiv w:val="1"/>
      <w:marLeft w:val="0"/>
      <w:marRight w:val="0"/>
      <w:marTop w:val="0"/>
      <w:marBottom w:val="0"/>
      <w:divBdr>
        <w:top w:val="none" w:sz="0" w:space="0" w:color="auto"/>
        <w:left w:val="none" w:sz="0" w:space="0" w:color="auto"/>
        <w:bottom w:val="none" w:sz="0" w:space="0" w:color="auto"/>
        <w:right w:val="none" w:sz="0" w:space="0" w:color="auto"/>
      </w:divBdr>
    </w:div>
    <w:div w:id="1120418436">
      <w:bodyDiv w:val="1"/>
      <w:marLeft w:val="0"/>
      <w:marRight w:val="0"/>
      <w:marTop w:val="0"/>
      <w:marBottom w:val="0"/>
      <w:divBdr>
        <w:top w:val="none" w:sz="0" w:space="0" w:color="auto"/>
        <w:left w:val="none" w:sz="0" w:space="0" w:color="auto"/>
        <w:bottom w:val="none" w:sz="0" w:space="0" w:color="auto"/>
        <w:right w:val="none" w:sz="0" w:space="0" w:color="auto"/>
      </w:divBdr>
    </w:div>
    <w:div w:id="1166673310">
      <w:bodyDiv w:val="1"/>
      <w:marLeft w:val="0"/>
      <w:marRight w:val="0"/>
      <w:marTop w:val="0"/>
      <w:marBottom w:val="0"/>
      <w:divBdr>
        <w:top w:val="none" w:sz="0" w:space="0" w:color="auto"/>
        <w:left w:val="none" w:sz="0" w:space="0" w:color="auto"/>
        <w:bottom w:val="none" w:sz="0" w:space="0" w:color="auto"/>
        <w:right w:val="none" w:sz="0" w:space="0" w:color="auto"/>
      </w:divBdr>
    </w:div>
    <w:div w:id="1169059972">
      <w:bodyDiv w:val="1"/>
      <w:marLeft w:val="0"/>
      <w:marRight w:val="0"/>
      <w:marTop w:val="0"/>
      <w:marBottom w:val="0"/>
      <w:divBdr>
        <w:top w:val="none" w:sz="0" w:space="0" w:color="auto"/>
        <w:left w:val="none" w:sz="0" w:space="0" w:color="auto"/>
        <w:bottom w:val="none" w:sz="0" w:space="0" w:color="auto"/>
        <w:right w:val="none" w:sz="0" w:space="0" w:color="auto"/>
      </w:divBdr>
    </w:div>
    <w:div w:id="1182664917">
      <w:bodyDiv w:val="1"/>
      <w:marLeft w:val="0"/>
      <w:marRight w:val="0"/>
      <w:marTop w:val="0"/>
      <w:marBottom w:val="0"/>
      <w:divBdr>
        <w:top w:val="none" w:sz="0" w:space="0" w:color="auto"/>
        <w:left w:val="none" w:sz="0" w:space="0" w:color="auto"/>
        <w:bottom w:val="none" w:sz="0" w:space="0" w:color="auto"/>
        <w:right w:val="none" w:sz="0" w:space="0" w:color="auto"/>
      </w:divBdr>
    </w:div>
    <w:div w:id="1189565225">
      <w:bodyDiv w:val="1"/>
      <w:marLeft w:val="0"/>
      <w:marRight w:val="0"/>
      <w:marTop w:val="0"/>
      <w:marBottom w:val="0"/>
      <w:divBdr>
        <w:top w:val="none" w:sz="0" w:space="0" w:color="auto"/>
        <w:left w:val="none" w:sz="0" w:space="0" w:color="auto"/>
        <w:bottom w:val="none" w:sz="0" w:space="0" w:color="auto"/>
        <w:right w:val="none" w:sz="0" w:space="0" w:color="auto"/>
      </w:divBdr>
    </w:div>
    <w:div w:id="1202286835">
      <w:bodyDiv w:val="1"/>
      <w:marLeft w:val="0"/>
      <w:marRight w:val="0"/>
      <w:marTop w:val="0"/>
      <w:marBottom w:val="0"/>
      <w:divBdr>
        <w:top w:val="none" w:sz="0" w:space="0" w:color="auto"/>
        <w:left w:val="none" w:sz="0" w:space="0" w:color="auto"/>
        <w:bottom w:val="none" w:sz="0" w:space="0" w:color="auto"/>
        <w:right w:val="none" w:sz="0" w:space="0" w:color="auto"/>
      </w:divBdr>
    </w:div>
    <w:div w:id="1212619590">
      <w:bodyDiv w:val="1"/>
      <w:marLeft w:val="0"/>
      <w:marRight w:val="0"/>
      <w:marTop w:val="0"/>
      <w:marBottom w:val="0"/>
      <w:divBdr>
        <w:top w:val="none" w:sz="0" w:space="0" w:color="auto"/>
        <w:left w:val="none" w:sz="0" w:space="0" w:color="auto"/>
        <w:bottom w:val="none" w:sz="0" w:space="0" w:color="auto"/>
        <w:right w:val="none" w:sz="0" w:space="0" w:color="auto"/>
      </w:divBdr>
    </w:div>
    <w:div w:id="1226448777">
      <w:bodyDiv w:val="1"/>
      <w:marLeft w:val="0"/>
      <w:marRight w:val="0"/>
      <w:marTop w:val="0"/>
      <w:marBottom w:val="0"/>
      <w:divBdr>
        <w:top w:val="none" w:sz="0" w:space="0" w:color="auto"/>
        <w:left w:val="none" w:sz="0" w:space="0" w:color="auto"/>
        <w:bottom w:val="none" w:sz="0" w:space="0" w:color="auto"/>
        <w:right w:val="none" w:sz="0" w:space="0" w:color="auto"/>
      </w:divBdr>
    </w:div>
    <w:div w:id="1244683607">
      <w:bodyDiv w:val="1"/>
      <w:marLeft w:val="0"/>
      <w:marRight w:val="0"/>
      <w:marTop w:val="0"/>
      <w:marBottom w:val="0"/>
      <w:divBdr>
        <w:top w:val="none" w:sz="0" w:space="0" w:color="auto"/>
        <w:left w:val="none" w:sz="0" w:space="0" w:color="auto"/>
        <w:bottom w:val="none" w:sz="0" w:space="0" w:color="auto"/>
        <w:right w:val="none" w:sz="0" w:space="0" w:color="auto"/>
      </w:divBdr>
    </w:div>
    <w:div w:id="1249316203">
      <w:bodyDiv w:val="1"/>
      <w:marLeft w:val="0"/>
      <w:marRight w:val="0"/>
      <w:marTop w:val="0"/>
      <w:marBottom w:val="0"/>
      <w:divBdr>
        <w:top w:val="none" w:sz="0" w:space="0" w:color="auto"/>
        <w:left w:val="none" w:sz="0" w:space="0" w:color="auto"/>
        <w:bottom w:val="none" w:sz="0" w:space="0" w:color="auto"/>
        <w:right w:val="none" w:sz="0" w:space="0" w:color="auto"/>
      </w:divBdr>
    </w:div>
    <w:div w:id="1257516904">
      <w:bodyDiv w:val="1"/>
      <w:marLeft w:val="0"/>
      <w:marRight w:val="0"/>
      <w:marTop w:val="0"/>
      <w:marBottom w:val="0"/>
      <w:divBdr>
        <w:top w:val="none" w:sz="0" w:space="0" w:color="auto"/>
        <w:left w:val="none" w:sz="0" w:space="0" w:color="auto"/>
        <w:bottom w:val="none" w:sz="0" w:space="0" w:color="auto"/>
        <w:right w:val="none" w:sz="0" w:space="0" w:color="auto"/>
      </w:divBdr>
    </w:div>
    <w:div w:id="1304508726">
      <w:bodyDiv w:val="1"/>
      <w:marLeft w:val="0"/>
      <w:marRight w:val="0"/>
      <w:marTop w:val="0"/>
      <w:marBottom w:val="0"/>
      <w:divBdr>
        <w:top w:val="none" w:sz="0" w:space="0" w:color="auto"/>
        <w:left w:val="none" w:sz="0" w:space="0" w:color="auto"/>
        <w:bottom w:val="none" w:sz="0" w:space="0" w:color="auto"/>
        <w:right w:val="none" w:sz="0" w:space="0" w:color="auto"/>
      </w:divBdr>
    </w:div>
    <w:div w:id="1331105735">
      <w:bodyDiv w:val="1"/>
      <w:marLeft w:val="0"/>
      <w:marRight w:val="0"/>
      <w:marTop w:val="0"/>
      <w:marBottom w:val="0"/>
      <w:divBdr>
        <w:top w:val="none" w:sz="0" w:space="0" w:color="auto"/>
        <w:left w:val="none" w:sz="0" w:space="0" w:color="auto"/>
        <w:bottom w:val="none" w:sz="0" w:space="0" w:color="auto"/>
        <w:right w:val="none" w:sz="0" w:space="0" w:color="auto"/>
      </w:divBdr>
    </w:div>
    <w:div w:id="1351764388">
      <w:bodyDiv w:val="1"/>
      <w:marLeft w:val="0"/>
      <w:marRight w:val="0"/>
      <w:marTop w:val="0"/>
      <w:marBottom w:val="0"/>
      <w:divBdr>
        <w:top w:val="none" w:sz="0" w:space="0" w:color="auto"/>
        <w:left w:val="none" w:sz="0" w:space="0" w:color="auto"/>
        <w:bottom w:val="none" w:sz="0" w:space="0" w:color="auto"/>
        <w:right w:val="none" w:sz="0" w:space="0" w:color="auto"/>
      </w:divBdr>
    </w:div>
    <w:div w:id="1367023113">
      <w:bodyDiv w:val="1"/>
      <w:marLeft w:val="0"/>
      <w:marRight w:val="0"/>
      <w:marTop w:val="0"/>
      <w:marBottom w:val="0"/>
      <w:divBdr>
        <w:top w:val="none" w:sz="0" w:space="0" w:color="auto"/>
        <w:left w:val="none" w:sz="0" w:space="0" w:color="auto"/>
        <w:bottom w:val="none" w:sz="0" w:space="0" w:color="auto"/>
        <w:right w:val="none" w:sz="0" w:space="0" w:color="auto"/>
      </w:divBdr>
    </w:div>
    <w:div w:id="1384907324">
      <w:bodyDiv w:val="1"/>
      <w:marLeft w:val="0"/>
      <w:marRight w:val="0"/>
      <w:marTop w:val="0"/>
      <w:marBottom w:val="0"/>
      <w:divBdr>
        <w:top w:val="none" w:sz="0" w:space="0" w:color="auto"/>
        <w:left w:val="none" w:sz="0" w:space="0" w:color="auto"/>
        <w:bottom w:val="none" w:sz="0" w:space="0" w:color="auto"/>
        <w:right w:val="none" w:sz="0" w:space="0" w:color="auto"/>
      </w:divBdr>
    </w:div>
    <w:div w:id="1411003308">
      <w:bodyDiv w:val="1"/>
      <w:marLeft w:val="0"/>
      <w:marRight w:val="0"/>
      <w:marTop w:val="0"/>
      <w:marBottom w:val="0"/>
      <w:divBdr>
        <w:top w:val="none" w:sz="0" w:space="0" w:color="auto"/>
        <w:left w:val="none" w:sz="0" w:space="0" w:color="auto"/>
        <w:bottom w:val="none" w:sz="0" w:space="0" w:color="auto"/>
        <w:right w:val="none" w:sz="0" w:space="0" w:color="auto"/>
      </w:divBdr>
    </w:div>
    <w:div w:id="1431004566">
      <w:bodyDiv w:val="1"/>
      <w:marLeft w:val="0"/>
      <w:marRight w:val="0"/>
      <w:marTop w:val="0"/>
      <w:marBottom w:val="0"/>
      <w:divBdr>
        <w:top w:val="none" w:sz="0" w:space="0" w:color="auto"/>
        <w:left w:val="none" w:sz="0" w:space="0" w:color="auto"/>
        <w:bottom w:val="none" w:sz="0" w:space="0" w:color="auto"/>
        <w:right w:val="none" w:sz="0" w:space="0" w:color="auto"/>
      </w:divBdr>
    </w:div>
    <w:div w:id="1474062019">
      <w:bodyDiv w:val="1"/>
      <w:marLeft w:val="0"/>
      <w:marRight w:val="0"/>
      <w:marTop w:val="0"/>
      <w:marBottom w:val="0"/>
      <w:divBdr>
        <w:top w:val="none" w:sz="0" w:space="0" w:color="auto"/>
        <w:left w:val="none" w:sz="0" w:space="0" w:color="auto"/>
        <w:bottom w:val="none" w:sz="0" w:space="0" w:color="auto"/>
        <w:right w:val="none" w:sz="0" w:space="0" w:color="auto"/>
      </w:divBdr>
    </w:div>
    <w:div w:id="1502357975">
      <w:bodyDiv w:val="1"/>
      <w:marLeft w:val="0"/>
      <w:marRight w:val="0"/>
      <w:marTop w:val="0"/>
      <w:marBottom w:val="0"/>
      <w:divBdr>
        <w:top w:val="none" w:sz="0" w:space="0" w:color="auto"/>
        <w:left w:val="none" w:sz="0" w:space="0" w:color="auto"/>
        <w:bottom w:val="none" w:sz="0" w:space="0" w:color="auto"/>
        <w:right w:val="none" w:sz="0" w:space="0" w:color="auto"/>
      </w:divBdr>
    </w:div>
    <w:div w:id="1503812958">
      <w:bodyDiv w:val="1"/>
      <w:marLeft w:val="0"/>
      <w:marRight w:val="0"/>
      <w:marTop w:val="0"/>
      <w:marBottom w:val="0"/>
      <w:divBdr>
        <w:top w:val="none" w:sz="0" w:space="0" w:color="auto"/>
        <w:left w:val="none" w:sz="0" w:space="0" w:color="auto"/>
        <w:bottom w:val="none" w:sz="0" w:space="0" w:color="auto"/>
        <w:right w:val="none" w:sz="0" w:space="0" w:color="auto"/>
      </w:divBdr>
    </w:div>
    <w:div w:id="1509440658">
      <w:bodyDiv w:val="1"/>
      <w:marLeft w:val="0"/>
      <w:marRight w:val="0"/>
      <w:marTop w:val="0"/>
      <w:marBottom w:val="0"/>
      <w:divBdr>
        <w:top w:val="none" w:sz="0" w:space="0" w:color="auto"/>
        <w:left w:val="none" w:sz="0" w:space="0" w:color="auto"/>
        <w:bottom w:val="none" w:sz="0" w:space="0" w:color="auto"/>
        <w:right w:val="none" w:sz="0" w:space="0" w:color="auto"/>
      </w:divBdr>
    </w:div>
    <w:div w:id="1524588178">
      <w:bodyDiv w:val="1"/>
      <w:marLeft w:val="0"/>
      <w:marRight w:val="0"/>
      <w:marTop w:val="0"/>
      <w:marBottom w:val="0"/>
      <w:divBdr>
        <w:top w:val="none" w:sz="0" w:space="0" w:color="auto"/>
        <w:left w:val="none" w:sz="0" w:space="0" w:color="auto"/>
        <w:bottom w:val="none" w:sz="0" w:space="0" w:color="auto"/>
        <w:right w:val="none" w:sz="0" w:space="0" w:color="auto"/>
      </w:divBdr>
    </w:div>
    <w:div w:id="1560551661">
      <w:bodyDiv w:val="1"/>
      <w:marLeft w:val="0"/>
      <w:marRight w:val="0"/>
      <w:marTop w:val="0"/>
      <w:marBottom w:val="0"/>
      <w:divBdr>
        <w:top w:val="none" w:sz="0" w:space="0" w:color="auto"/>
        <w:left w:val="none" w:sz="0" w:space="0" w:color="auto"/>
        <w:bottom w:val="none" w:sz="0" w:space="0" w:color="auto"/>
        <w:right w:val="none" w:sz="0" w:space="0" w:color="auto"/>
      </w:divBdr>
    </w:div>
    <w:div w:id="1576277181">
      <w:bodyDiv w:val="1"/>
      <w:marLeft w:val="0"/>
      <w:marRight w:val="0"/>
      <w:marTop w:val="0"/>
      <w:marBottom w:val="0"/>
      <w:divBdr>
        <w:top w:val="none" w:sz="0" w:space="0" w:color="auto"/>
        <w:left w:val="none" w:sz="0" w:space="0" w:color="auto"/>
        <w:bottom w:val="none" w:sz="0" w:space="0" w:color="auto"/>
        <w:right w:val="none" w:sz="0" w:space="0" w:color="auto"/>
      </w:divBdr>
    </w:div>
    <w:div w:id="1605574136">
      <w:bodyDiv w:val="1"/>
      <w:marLeft w:val="0"/>
      <w:marRight w:val="0"/>
      <w:marTop w:val="0"/>
      <w:marBottom w:val="0"/>
      <w:divBdr>
        <w:top w:val="none" w:sz="0" w:space="0" w:color="auto"/>
        <w:left w:val="none" w:sz="0" w:space="0" w:color="auto"/>
        <w:bottom w:val="none" w:sz="0" w:space="0" w:color="auto"/>
        <w:right w:val="none" w:sz="0" w:space="0" w:color="auto"/>
      </w:divBdr>
    </w:div>
    <w:div w:id="1653635880">
      <w:bodyDiv w:val="1"/>
      <w:marLeft w:val="0"/>
      <w:marRight w:val="0"/>
      <w:marTop w:val="0"/>
      <w:marBottom w:val="0"/>
      <w:divBdr>
        <w:top w:val="none" w:sz="0" w:space="0" w:color="auto"/>
        <w:left w:val="none" w:sz="0" w:space="0" w:color="auto"/>
        <w:bottom w:val="none" w:sz="0" w:space="0" w:color="auto"/>
        <w:right w:val="none" w:sz="0" w:space="0" w:color="auto"/>
      </w:divBdr>
    </w:div>
    <w:div w:id="1670867369">
      <w:bodyDiv w:val="1"/>
      <w:marLeft w:val="0"/>
      <w:marRight w:val="0"/>
      <w:marTop w:val="0"/>
      <w:marBottom w:val="0"/>
      <w:divBdr>
        <w:top w:val="none" w:sz="0" w:space="0" w:color="auto"/>
        <w:left w:val="none" w:sz="0" w:space="0" w:color="auto"/>
        <w:bottom w:val="none" w:sz="0" w:space="0" w:color="auto"/>
        <w:right w:val="none" w:sz="0" w:space="0" w:color="auto"/>
      </w:divBdr>
    </w:div>
    <w:div w:id="1690332612">
      <w:bodyDiv w:val="1"/>
      <w:marLeft w:val="0"/>
      <w:marRight w:val="0"/>
      <w:marTop w:val="0"/>
      <w:marBottom w:val="0"/>
      <w:divBdr>
        <w:top w:val="none" w:sz="0" w:space="0" w:color="auto"/>
        <w:left w:val="none" w:sz="0" w:space="0" w:color="auto"/>
        <w:bottom w:val="none" w:sz="0" w:space="0" w:color="auto"/>
        <w:right w:val="none" w:sz="0" w:space="0" w:color="auto"/>
      </w:divBdr>
    </w:div>
    <w:div w:id="1725177089">
      <w:bodyDiv w:val="1"/>
      <w:marLeft w:val="0"/>
      <w:marRight w:val="0"/>
      <w:marTop w:val="0"/>
      <w:marBottom w:val="0"/>
      <w:divBdr>
        <w:top w:val="none" w:sz="0" w:space="0" w:color="auto"/>
        <w:left w:val="none" w:sz="0" w:space="0" w:color="auto"/>
        <w:bottom w:val="none" w:sz="0" w:space="0" w:color="auto"/>
        <w:right w:val="none" w:sz="0" w:space="0" w:color="auto"/>
      </w:divBdr>
    </w:div>
    <w:div w:id="1746340137">
      <w:bodyDiv w:val="1"/>
      <w:marLeft w:val="0"/>
      <w:marRight w:val="0"/>
      <w:marTop w:val="0"/>
      <w:marBottom w:val="0"/>
      <w:divBdr>
        <w:top w:val="none" w:sz="0" w:space="0" w:color="auto"/>
        <w:left w:val="none" w:sz="0" w:space="0" w:color="auto"/>
        <w:bottom w:val="none" w:sz="0" w:space="0" w:color="auto"/>
        <w:right w:val="none" w:sz="0" w:space="0" w:color="auto"/>
      </w:divBdr>
    </w:div>
    <w:div w:id="1765177793">
      <w:bodyDiv w:val="1"/>
      <w:marLeft w:val="0"/>
      <w:marRight w:val="0"/>
      <w:marTop w:val="0"/>
      <w:marBottom w:val="0"/>
      <w:divBdr>
        <w:top w:val="none" w:sz="0" w:space="0" w:color="auto"/>
        <w:left w:val="none" w:sz="0" w:space="0" w:color="auto"/>
        <w:bottom w:val="none" w:sz="0" w:space="0" w:color="auto"/>
        <w:right w:val="none" w:sz="0" w:space="0" w:color="auto"/>
      </w:divBdr>
    </w:div>
    <w:div w:id="1781954280">
      <w:bodyDiv w:val="1"/>
      <w:marLeft w:val="0"/>
      <w:marRight w:val="0"/>
      <w:marTop w:val="0"/>
      <w:marBottom w:val="0"/>
      <w:divBdr>
        <w:top w:val="none" w:sz="0" w:space="0" w:color="auto"/>
        <w:left w:val="none" w:sz="0" w:space="0" w:color="auto"/>
        <w:bottom w:val="none" w:sz="0" w:space="0" w:color="auto"/>
        <w:right w:val="none" w:sz="0" w:space="0" w:color="auto"/>
      </w:divBdr>
    </w:div>
    <w:div w:id="1792701237">
      <w:bodyDiv w:val="1"/>
      <w:marLeft w:val="0"/>
      <w:marRight w:val="0"/>
      <w:marTop w:val="0"/>
      <w:marBottom w:val="0"/>
      <w:divBdr>
        <w:top w:val="none" w:sz="0" w:space="0" w:color="auto"/>
        <w:left w:val="none" w:sz="0" w:space="0" w:color="auto"/>
        <w:bottom w:val="none" w:sz="0" w:space="0" w:color="auto"/>
        <w:right w:val="none" w:sz="0" w:space="0" w:color="auto"/>
      </w:divBdr>
    </w:div>
    <w:div w:id="1839803708">
      <w:bodyDiv w:val="1"/>
      <w:marLeft w:val="0"/>
      <w:marRight w:val="0"/>
      <w:marTop w:val="0"/>
      <w:marBottom w:val="0"/>
      <w:divBdr>
        <w:top w:val="none" w:sz="0" w:space="0" w:color="auto"/>
        <w:left w:val="none" w:sz="0" w:space="0" w:color="auto"/>
        <w:bottom w:val="none" w:sz="0" w:space="0" w:color="auto"/>
        <w:right w:val="none" w:sz="0" w:space="0" w:color="auto"/>
      </w:divBdr>
    </w:div>
    <w:div w:id="1841693808">
      <w:bodyDiv w:val="1"/>
      <w:marLeft w:val="0"/>
      <w:marRight w:val="0"/>
      <w:marTop w:val="0"/>
      <w:marBottom w:val="0"/>
      <w:divBdr>
        <w:top w:val="none" w:sz="0" w:space="0" w:color="auto"/>
        <w:left w:val="none" w:sz="0" w:space="0" w:color="auto"/>
        <w:bottom w:val="none" w:sz="0" w:space="0" w:color="auto"/>
        <w:right w:val="none" w:sz="0" w:space="0" w:color="auto"/>
      </w:divBdr>
    </w:div>
    <w:div w:id="1855806515">
      <w:bodyDiv w:val="1"/>
      <w:marLeft w:val="0"/>
      <w:marRight w:val="0"/>
      <w:marTop w:val="0"/>
      <w:marBottom w:val="0"/>
      <w:divBdr>
        <w:top w:val="none" w:sz="0" w:space="0" w:color="auto"/>
        <w:left w:val="none" w:sz="0" w:space="0" w:color="auto"/>
        <w:bottom w:val="none" w:sz="0" w:space="0" w:color="auto"/>
        <w:right w:val="none" w:sz="0" w:space="0" w:color="auto"/>
      </w:divBdr>
    </w:div>
    <w:div w:id="1857384857">
      <w:bodyDiv w:val="1"/>
      <w:marLeft w:val="0"/>
      <w:marRight w:val="0"/>
      <w:marTop w:val="0"/>
      <w:marBottom w:val="0"/>
      <w:divBdr>
        <w:top w:val="none" w:sz="0" w:space="0" w:color="auto"/>
        <w:left w:val="none" w:sz="0" w:space="0" w:color="auto"/>
        <w:bottom w:val="none" w:sz="0" w:space="0" w:color="auto"/>
        <w:right w:val="none" w:sz="0" w:space="0" w:color="auto"/>
      </w:divBdr>
    </w:div>
    <w:div w:id="1859733756">
      <w:bodyDiv w:val="1"/>
      <w:marLeft w:val="0"/>
      <w:marRight w:val="0"/>
      <w:marTop w:val="0"/>
      <w:marBottom w:val="0"/>
      <w:divBdr>
        <w:top w:val="none" w:sz="0" w:space="0" w:color="auto"/>
        <w:left w:val="none" w:sz="0" w:space="0" w:color="auto"/>
        <w:bottom w:val="none" w:sz="0" w:space="0" w:color="auto"/>
        <w:right w:val="none" w:sz="0" w:space="0" w:color="auto"/>
      </w:divBdr>
    </w:div>
    <w:div w:id="1884246929">
      <w:bodyDiv w:val="1"/>
      <w:marLeft w:val="0"/>
      <w:marRight w:val="0"/>
      <w:marTop w:val="0"/>
      <w:marBottom w:val="0"/>
      <w:divBdr>
        <w:top w:val="none" w:sz="0" w:space="0" w:color="auto"/>
        <w:left w:val="none" w:sz="0" w:space="0" w:color="auto"/>
        <w:bottom w:val="none" w:sz="0" w:space="0" w:color="auto"/>
        <w:right w:val="none" w:sz="0" w:space="0" w:color="auto"/>
      </w:divBdr>
    </w:div>
    <w:div w:id="1884320923">
      <w:bodyDiv w:val="1"/>
      <w:marLeft w:val="0"/>
      <w:marRight w:val="0"/>
      <w:marTop w:val="0"/>
      <w:marBottom w:val="0"/>
      <w:divBdr>
        <w:top w:val="none" w:sz="0" w:space="0" w:color="auto"/>
        <w:left w:val="none" w:sz="0" w:space="0" w:color="auto"/>
        <w:bottom w:val="none" w:sz="0" w:space="0" w:color="auto"/>
        <w:right w:val="none" w:sz="0" w:space="0" w:color="auto"/>
      </w:divBdr>
    </w:div>
    <w:div w:id="1891185347">
      <w:bodyDiv w:val="1"/>
      <w:marLeft w:val="0"/>
      <w:marRight w:val="0"/>
      <w:marTop w:val="0"/>
      <w:marBottom w:val="0"/>
      <w:divBdr>
        <w:top w:val="none" w:sz="0" w:space="0" w:color="auto"/>
        <w:left w:val="none" w:sz="0" w:space="0" w:color="auto"/>
        <w:bottom w:val="none" w:sz="0" w:space="0" w:color="auto"/>
        <w:right w:val="none" w:sz="0" w:space="0" w:color="auto"/>
      </w:divBdr>
    </w:div>
    <w:div w:id="1897009071">
      <w:bodyDiv w:val="1"/>
      <w:marLeft w:val="0"/>
      <w:marRight w:val="0"/>
      <w:marTop w:val="0"/>
      <w:marBottom w:val="0"/>
      <w:divBdr>
        <w:top w:val="none" w:sz="0" w:space="0" w:color="auto"/>
        <w:left w:val="none" w:sz="0" w:space="0" w:color="auto"/>
        <w:bottom w:val="none" w:sz="0" w:space="0" w:color="auto"/>
        <w:right w:val="none" w:sz="0" w:space="0" w:color="auto"/>
      </w:divBdr>
    </w:div>
    <w:div w:id="1932467617">
      <w:bodyDiv w:val="1"/>
      <w:marLeft w:val="0"/>
      <w:marRight w:val="0"/>
      <w:marTop w:val="0"/>
      <w:marBottom w:val="0"/>
      <w:divBdr>
        <w:top w:val="none" w:sz="0" w:space="0" w:color="auto"/>
        <w:left w:val="none" w:sz="0" w:space="0" w:color="auto"/>
        <w:bottom w:val="none" w:sz="0" w:space="0" w:color="auto"/>
        <w:right w:val="none" w:sz="0" w:space="0" w:color="auto"/>
      </w:divBdr>
    </w:div>
    <w:div w:id="1975327914">
      <w:bodyDiv w:val="1"/>
      <w:marLeft w:val="0"/>
      <w:marRight w:val="0"/>
      <w:marTop w:val="0"/>
      <w:marBottom w:val="0"/>
      <w:divBdr>
        <w:top w:val="none" w:sz="0" w:space="0" w:color="auto"/>
        <w:left w:val="none" w:sz="0" w:space="0" w:color="auto"/>
        <w:bottom w:val="none" w:sz="0" w:space="0" w:color="auto"/>
        <w:right w:val="none" w:sz="0" w:space="0" w:color="auto"/>
      </w:divBdr>
    </w:div>
    <w:div w:id="1981382146">
      <w:bodyDiv w:val="1"/>
      <w:marLeft w:val="0"/>
      <w:marRight w:val="0"/>
      <w:marTop w:val="0"/>
      <w:marBottom w:val="0"/>
      <w:divBdr>
        <w:top w:val="none" w:sz="0" w:space="0" w:color="auto"/>
        <w:left w:val="none" w:sz="0" w:space="0" w:color="auto"/>
        <w:bottom w:val="none" w:sz="0" w:space="0" w:color="auto"/>
        <w:right w:val="none" w:sz="0" w:space="0" w:color="auto"/>
      </w:divBdr>
    </w:div>
    <w:div w:id="1998023907">
      <w:bodyDiv w:val="1"/>
      <w:marLeft w:val="0"/>
      <w:marRight w:val="0"/>
      <w:marTop w:val="0"/>
      <w:marBottom w:val="0"/>
      <w:divBdr>
        <w:top w:val="none" w:sz="0" w:space="0" w:color="auto"/>
        <w:left w:val="none" w:sz="0" w:space="0" w:color="auto"/>
        <w:bottom w:val="none" w:sz="0" w:space="0" w:color="auto"/>
        <w:right w:val="none" w:sz="0" w:space="0" w:color="auto"/>
      </w:divBdr>
    </w:div>
    <w:div w:id="1999310892">
      <w:bodyDiv w:val="1"/>
      <w:marLeft w:val="0"/>
      <w:marRight w:val="0"/>
      <w:marTop w:val="0"/>
      <w:marBottom w:val="0"/>
      <w:divBdr>
        <w:top w:val="none" w:sz="0" w:space="0" w:color="auto"/>
        <w:left w:val="none" w:sz="0" w:space="0" w:color="auto"/>
        <w:bottom w:val="none" w:sz="0" w:space="0" w:color="auto"/>
        <w:right w:val="none" w:sz="0" w:space="0" w:color="auto"/>
      </w:divBdr>
    </w:div>
    <w:div w:id="2093157791">
      <w:bodyDiv w:val="1"/>
      <w:marLeft w:val="0"/>
      <w:marRight w:val="0"/>
      <w:marTop w:val="0"/>
      <w:marBottom w:val="0"/>
      <w:divBdr>
        <w:top w:val="none" w:sz="0" w:space="0" w:color="auto"/>
        <w:left w:val="none" w:sz="0" w:space="0" w:color="auto"/>
        <w:bottom w:val="none" w:sz="0" w:space="0" w:color="auto"/>
        <w:right w:val="none" w:sz="0" w:space="0" w:color="auto"/>
      </w:divBdr>
    </w:div>
    <w:div w:id="2112041726">
      <w:bodyDiv w:val="1"/>
      <w:marLeft w:val="0"/>
      <w:marRight w:val="0"/>
      <w:marTop w:val="0"/>
      <w:marBottom w:val="0"/>
      <w:divBdr>
        <w:top w:val="none" w:sz="0" w:space="0" w:color="auto"/>
        <w:left w:val="none" w:sz="0" w:space="0" w:color="auto"/>
        <w:bottom w:val="none" w:sz="0" w:space="0" w:color="auto"/>
        <w:right w:val="none" w:sz="0" w:space="0" w:color="auto"/>
      </w:divBdr>
    </w:div>
    <w:div w:id="213733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B3BFD-4D2C-4328-BC3E-17C81CF59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1730</TotalTime>
  <Pages>11</Pages>
  <Words>20742</Words>
  <Characters>118235</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sabo benson</dc:creator>
  <cp:keywords/>
  <dc:description/>
  <cp:lastModifiedBy>sabo benson</cp:lastModifiedBy>
  <cp:revision>8</cp:revision>
  <dcterms:created xsi:type="dcterms:W3CDTF">2026-05-28T05:41:00Z</dcterms:created>
  <dcterms:modified xsi:type="dcterms:W3CDTF">2026-06-14T02:47:00Z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b8aeba65-fd3e-3004-8461-d3052a86d190</vt:lpwstr>
  </property>
  <property fmtid="{D5CDD505-2E9C-101B-9397-08002B2CF9AE}" pid="24" name="Mendeley Citation Style_1">
    <vt:lpwstr>http://www.zotero.org/styles/apa</vt:lpwstr>
  </property>
</Properties>
</file>