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05E30" w14:textId="77777777" w:rsidR="006745AB" w:rsidRPr="00CD2874" w:rsidRDefault="006745AB" w:rsidP="006745AB">
      <w:pPr>
        <w:pStyle w:val="12"/>
      </w:pPr>
      <w:r w:rsidRPr="00CD2874">
        <w:t>11-ТАҚЫРЫП. ӨКІЛДІК ЖӘНЕ СЕНІМХАТ</w:t>
      </w:r>
    </w:p>
    <w:p w14:paraId="149A181B" w14:textId="77777777" w:rsidR="006745AB" w:rsidRPr="00CD2874" w:rsidRDefault="006745AB" w:rsidP="006745AB">
      <w:pPr>
        <w:pStyle w:val="af"/>
        <w:spacing w:before="0" w:beforeAutospacing="0" w:after="0" w:afterAutospacing="0"/>
        <w:ind w:firstLine="340"/>
        <w:jc w:val="both"/>
        <w:rPr>
          <w:b/>
          <w:color w:val="000000" w:themeColor="text1"/>
          <w:sz w:val="22"/>
          <w:szCs w:val="28"/>
          <w:lang w:val="kk-KZ"/>
        </w:rPr>
      </w:pPr>
    </w:p>
    <w:p w14:paraId="769B6DEB"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Қазіргі қоғамда азаматтар мен ұйымдар күнделікті өмірде әртүрлі құқықтық қатынастарға түседі. Олар мүліктік мәмілелер жасайды, шарттарға отырады, қызмет көрсетеді және түрлі заңды әрекеттерді жүзеге асырады. Алайда әрбір адам барлық құқықтық іс-әрекеттерді жеке өзі орындауға әрдайым мүмкіндік таба бермейді. Уақыттың жетіспеуі, денсаулық жағдайы, қашықтық немесе басқа да себептер адамның өз құқықтарын тікелей жүзеге асыруына кедергі келтіруі мүмкін. Осындай жағдайларда өкілдік пен сенімхат институттары қолданылады. Олар тұлғаның құқықтары мен мүдделерін басқа адам арқылы жүзеге асыруға мүмкіндік береді. Қазақстан Республикасының Азаматтық кодексінде өкілдік пен сенімхатқа қатысты арнайы нормалар бекітілген және олардың қолданылу тәртібі нақты реттелген.</w:t>
      </w:r>
    </w:p>
    <w:p w14:paraId="43D4C45C"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Өкілдік пен сенімхат азаматтық айналымды жеңілдетуге, құқықтық қатынастардың тұрақтылығын қамтамасыз етуге және азаматтардың құқықтарын қорғауға бағытталған маңызды құқықтық құралдар болып табылады.</w:t>
      </w:r>
    </w:p>
    <w:p w14:paraId="547DDE27"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Қазақстан Республикасының Азаматтық кодексіне сәйкес, өкілдік деп бір тұлғаның басқа тұлғаның атынан және оның мүддесі үшін құқықтық әрекеттер жасауы танылады. Бұл жағдайда өкілдің жасаған әрекеттері тікелей өкілдік берушінің құқықтары мен міндеттерін туындатады, өзгертеді немесе тоқтатады. Өкіл өз атынан емес, өкілдік берушінің атынан әрекет етеді. Сондықтан оның құқықтық салдары өкілге емес, өкілдік берушіге қатысты туындайды. Мысалы, азамат өз пәтерін сатуға мүмкіндігі болмаған жағдайда, басқа тұлғаға осы әрекетті орындауға өкілеттік беруі мүмкін. Бұл жағдайда пәтерді сататын адам - өкіл, ал меншік иесі - өкілдік беруші болып табылады.</w:t>
      </w:r>
    </w:p>
    <w:p w14:paraId="7BC06B1C"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Өкілдіктің негізгі белгілері мыналардан көрінеді: өкіл басқа тұлғаның атынан әрекет етеді, оның әрекеті құқықтық салдар туындатады, өкілеттік заңға немесе сенімхатқа негізделеді және өкіл өкілдік берушінің мүддесін қорғауға міндетті. Өкілдік азаматтардың құқықтарын тиімді жүзеге асыруына мүмкіндік беріп, азаматтық айналымның дамуына оң әсер етеді.</w:t>
      </w:r>
    </w:p>
    <w:p w14:paraId="1FDA156C"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Өкілдік құқықтық негізіне және пайда болу жолына қарай төмендегідей бірнеше түрге бөлінеді:</w:t>
      </w:r>
    </w:p>
    <w:p w14:paraId="0C749AA4"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Заңды өкілдік заңның тікелей нұсқауы бойынша пайда болады. Мұндай жағдайда арнайы сенімхат талап етілмейді. Заңды өкілдік көбінесе әрекетке қабілетсіз немесе қабілеті шектеулі тұлғалардың құқықтарын қорғауға бағытталған. Мысалы, ата-аналар кәмелетке толмаған балаларының заңды өкілі болып табылады. Қорғаншылар мен қамқоршылар да өз қамқорлығындағы адамдардың мүддесін заңды түрде қорғайды. </w:t>
      </w:r>
    </w:p>
    <w:p w14:paraId="705D4736"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Шарттық өкілдік тараптардың өзара келісімі негізінде жүзеге асырылады. Ол сенімхат немесе азаматтық-құқықтық шарт арқылы рәсімделеді. Мысалы, адвокаттың клиентті қорғауы, агенттің кәсіпкердің атынан мәміле жасауы, делдалдың сауда келісімін ұйымдастыруы шарттық өкілдікке жатады. Бұл жағдайда өкіл мен өкілдік беруші арасында нақты құқықтық міндеттер белгіленеді.</w:t>
      </w:r>
    </w:p>
    <w:p w14:paraId="4581E751"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Әкімшілік өкілдік ұйымдардың ішкі құрылымына байланысты пайда болады. Ұйым басшылары мен қызметкерлері өз лауазымдық өкілеттігі шегінде ұйым атынан әрекет етеді. Мысалы, директордың келісімшарттарға қол қоюы немесе бөлім басшысының ресми құжаттарды рәсімдеуі әкімшілік өкілдікке жатады.</w:t>
      </w:r>
    </w:p>
    <w:p w14:paraId="2393DC47"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Өкіл берілген өкілеттік шегінде әрекет етуге, қажетті ақпарат алуға және шығындарын өтеуді талап етуге құқылы. Сонымен қатар ол өз міндеттерін адал орындауға, өкілеттікті асыра пайдаланбауға, берілген тапсырма бойынша есеп беруге міндетті. Егер өкіл өз өкілеттігін теріс пайдаланса, келтірілген зиян үшін жауап береді [28].</w:t>
      </w:r>
    </w:p>
    <w:p w14:paraId="7A765F10"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Өкілдік пен сенімхат азаматтық құқықтың маңызды институттарының бірі болып табылады. Олар азаматтар мен ұйымдарға өз құқықтарын басқа тұлғалар арқылы жүзеге асыруға мүмкіндік береді. Бұл институттар азаматтық айналымды жеңілдетіп, құқықтық қатынастардың тұрақтылығын қамтамасыз етеді. Сенімхат өкілдің өкілеттігін растайтын негізгі құжат ретінде ерекше маңызға ие. Ол заң талаптарына сай рәсімделмеген жағдайда, жасалған мәміле жарамсыз деп танылуы мүмкін. Сондықтан сенімхат беру кезінде заң нормаларын қатаң сақтау қажет.</w:t>
      </w:r>
    </w:p>
    <w:p w14:paraId="2A29EFC3"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Сенімхат - бір тұлғаның басқа тұлғаға өзінің атынан белгілі бір құқықтық әрекеттер жасауға беретін жазбаша өкілеттігі. Сенімхат өкілдің өкілеттігін растайтын негізгі құжат болып табылады. Ол арқылы өкілдің қандай әрекеттерді орындауға құқығы бар екені анықталады. Сенімхатсыз көптеген құқықтық әрекеттерді жүзеге асыру мүмкін емес. Мысалы, банктен ақша алу, мүлікті сату, көлікті тіркеу, сотта өкіл болу сияқты әрекеттер көбінесе сенімхат арқылы жүзеге асырылады.</w:t>
      </w:r>
    </w:p>
    <w:p w14:paraId="25DFC490"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Сенімхат міндетті түрде жазбаша нысанда жасалады. Кейбір жағдайларда ол нотариус арқылы куәландырылуы тиіс. Нотариалды куәландыру жылжымайтын мүлікке қатысты мәмілелерде, мемлекеттік тіркеуге жататын әрекеттерде және мұрагерлік мәселелерде талап етіледі.</w:t>
      </w:r>
    </w:p>
    <w:p w14:paraId="14848F0C"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lastRenderedPageBreak/>
        <w:t xml:space="preserve"> Сенімхатта мынадай міндетті мәліметтер көрсетілуі қажет: берілген күні, сенімхат беруші мен өкілдің аты-жөні, өкілеттіктің көлемі, мерзімі және қолы. Егер берілген күні көрсетілмесе, сенімхат жарамсыз деп танылады.</w:t>
      </w:r>
    </w:p>
    <w:p w14:paraId="3C7084D2"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Сенімхат мазмұнына қарай бірнеше түрге бөлінеді. Бір реттік сенімхат белгілі бір ғана әрекет жасауға беріледі. Арнайы сенімхат белгілі бір мерзім ішінде бірнеше ұқсас әрекет жасауға мүмкіндік береді. Ал жалпы сенімхат өкілге кең көлемде өкілеттік береді және мүлікті басқаруға немесе істерді толық жүргізуге құқық береді.</w:t>
      </w:r>
    </w:p>
    <w:p w14:paraId="43A42E60"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Сенімхатта оның қолданылу мерзімі көрсетілуі мүмкін. Егер мерзім көрсетілмесе, ол бір жылға жарамды болып есептеледі. Заң бойынша сенімхаттың ең ұзақ мерзімі үш жылдан аспауы тиіс.</w:t>
      </w:r>
    </w:p>
    <w:p w14:paraId="0C93FAA9"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w:t>
      </w:r>
      <w:r w:rsidRPr="00CD2874">
        <w:rPr>
          <w:color w:val="000000" w:themeColor="text1"/>
          <w:sz w:val="22"/>
          <w:szCs w:val="28"/>
          <w:lang w:val="kk-KZ" w:eastAsia="ru-RU"/>
        </w:rPr>
        <w:t>Сенімхат белгілі бір мерзімге немесе белгілі бір мақсатты орындау үшін беріледі. Алайда кейбір жағдайларда ол өзінің заңды күшін жояды және тоқтатылады. Қазақстан Республикасының Азаматтық кодексіне сәйкес, сенімхаттың тоқтатылуы өкіл мен сенімхат беруші арасындағы құқықтық қатынастардың аяқталғанын білдіреді.</w:t>
      </w:r>
      <w:r w:rsidRPr="00CD2874">
        <w:rPr>
          <w:color w:val="000000" w:themeColor="text1"/>
          <w:sz w:val="22"/>
          <w:szCs w:val="28"/>
          <w:lang w:val="kk-KZ"/>
        </w:rPr>
        <w:t xml:space="preserve"> Сенімхат мына жағдайларда тоқтатылады: мерзімінің аяқталуы, сенімхат берушінің немесе өкілдің бас тартуы, тараптардың қайтыс болуы, әрекетке қабілетсіз деп танылуы. Сенімхат тоқтатылған кезде өкіл барлық алынған құжаттарды қайтаруға міндетті.</w:t>
      </w:r>
    </w:p>
    <w:p w14:paraId="2403DA72" w14:textId="77777777" w:rsidR="006745AB" w:rsidRPr="00CD2874" w:rsidRDefault="006745AB" w:rsidP="006745AB">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Сенімхат тоқтатылған сәттен бастап өкілдің өкілдік ету құқығы жойылады. Яғни ол сенімхат берушінің атынан қандай да бір мәміле жасауға немесе құқықтық әрекеттер орындауға құқылы болмайды. Егер өкіл сенімхат тоқтатылғаннан кейін әрекет жасаса, мұндай әрекеттер заңсыз болып есептеледі және құқықтық салдар туындатпайды. Сенімхат тоқтатылған жағдайда өкіл сенімхат берушіге барлық алынған құжаттарды, мүлікті және пайдаланылмаған өкілеттіктерді қайтаруға міндетті. Сонымен қатар, өкіл өзінің атқарған әрекеттері туралы есеп беруге тиіс. Бұл сенімхат берушінің мүддесін қорғау мақсатында жүзеге асырылады.</w:t>
      </w:r>
    </w:p>
    <w:p w14:paraId="42E011F8" w14:textId="77777777" w:rsidR="006745AB" w:rsidRPr="00CD2874" w:rsidRDefault="006745AB" w:rsidP="006745AB">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Егер сенімхат өкілдің кінәсінен немесе заңсыз әрекеттерінің салдарынан тоқтатылса, өкіл келтірілген зиянды өтеуге міндетті болады. Ал егер сенімхат беруші өз еркімен бас тартса, өкіл бұрын жасалған заңды әрекеттері үшін жауап бермейді.</w:t>
      </w:r>
    </w:p>
    <w:p w14:paraId="291E26AB" w14:textId="77777777" w:rsidR="006745AB" w:rsidRPr="00CD2874" w:rsidRDefault="006745AB" w:rsidP="006745AB">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Сенімхат тоқтатылғаннан кейін үшінші тұлғаларға бұл туралы хабарлау маңызды. Егер үшінші тұлғалар сенімхаттың тоқтатылғанын білмесе және адал түрде мәміле жасаса, кейбір жағдайларда олардың құқықтары қорғалуы мүмкін. Сондықтан сенімхат беруші сенімхаттың тоқтатылғаны туралы мүдделі тұлғаларды уақтылы хабардар етуі қажет.</w:t>
      </w:r>
    </w:p>
    <w:p w14:paraId="04BE4438" w14:textId="77777777" w:rsidR="006745AB" w:rsidRPr="00CD2874" w:rsidRDefault="006745AB" w:rsidP="006745AB">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Сенімхаттың тоқтатылуы өкілдің өкілеттігін толық тоқтатуға әкеледі және тараптар арасында жаңа құқықтық қатынастардың туындауына жол бермейді. Бұл азаматтық құқықтағы тәртіпті сақтауға және заңдылықты қамтамасыз етуге бағытталған маңызды құқықтық механизм болып табылады [29].</w:t>
      </w:r>
    </w:p>
    <w:p w14:paraId="124BC082" w14:textId="77777777" w:rsidR="006745AB" w:rsidRPr="00CD2874" w:rsidRDefault="006745AB" w:rsidP="006745AB">
      <w:pPr>
        <w:pStyle w:val="af"/>
        <w:spacing w:before="0" w:beforeAutospacing="0" w:after="0" w:afterAutospacing="0"/>
        <w:ind w:firstLine="340"/>
        <w:jc w:val="both"/>
        <w:rPr>
          <w:color w:val="000000" w:themeColor="text1"/>
          <w:sz w:val="22"/>
          <w:szCs w:val="28"/>
          <w:lang w:val="kk-KZ"/>
        </w:rPr>
      </w:pPr>
      <w:r w:rsidRPr="00CD2874">
        <w:rPr>
          <w:color w:val="000000" w:themeColor="text1"/>
          <w:sz w:val="22"/>
          <w:szCs w:val="28"/>
          <w:lang w:val="kk-KZ"/>
        </w:rPr>
        <w:t xml:space="preserve"> Қазіргі қоғамда өкілдік пен сенімхаттың рөлі артып келеді. Әрбір азамат осы институттардың мазмұнын жақсы меңгеріп, оларды дұрыс пайдалана білуі керек. Бұл олардың өз құқықтарын қорғауға, заңды қатынастарды тиімді жүргізуге және құқықтық мәдениетті арттыруға мүмкіндік береді.</w:t>
      </w:r>
    </w:p>
    <w:p w14:paraId="07BFAA1C" w14:textId="77777777" w:rsidR="00692220" w:rsidRPr="006745AB" w:rsidRDefault="00692220">
      <w:pPr>
        <w:rPr>
          <w:lang w:val="kk-KZ"/>
        </w:rPr>
      </w:pPr>
    </w:p>
    <w:sectPr w:rsidR="00692220" w:rsidRPr="006745A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F19"/>
    <w:rsid w:val="000E15AA"/>
    <w:rsid w:val="0057732B"/>
    <w:rsid w:val="006745AB"/>
    <w:rsid w:val="00692220"/>
    <w:rsid w:val="008144E6"/>
    <w:rsid w:val="008C76E6"/>
    <w:rsid w:val="009F666C"/>
    <w:rsid w:val="00C456E5"/>
    <w:rsid w:val="00EC5F1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C3888"/>
  <w15:chartTrackingRefBased/>
  <w15:docId w15:val="{A1C1BD6A-697F-45C0-B2B1-7EB0EB4C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45AB"/>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57732B"/>
    <w:pPr>
      <w:keepNext/>
      <w:keepLines/>
      <w:spacing w:before="160" w:after="80"/>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57732B"/>
    <w:pPr>
      <w:keepNext/>
      <w:keepLines/>
      <w:spacing w:before="80" w:after="40"/>
      <w:outlineLvl w:val="3"/>
    </w:pPr>
    <w:rPr>
      <w:rFonts w:asciiTheme="minorHAnsi" w:eastAsiaTheme="majorEastAsia" w:hAnsiTheme="minorHAnsi" w:cstheme="majorBidi"/>
      <w:i/>
      <w:iCs/>
      <w:color w:val="0F4761" w:themeColor="accent1" w:themeShade="BF"/>
      <w:kern w:val="2"/>
      <w:lang w:val="ru-KZ" w:eastAsia="en-US"/>
      <w14:ligatures w14:val="standardContextual"/>
    </w:rPr>
  </w:style>
  <w:style w:type="paragraph" w:styleId="5">
    <w:name w:val="heading 5"/>
    <w:basedOn w:val="a"/>
    <w:next w:val="a"/>
    <w:link w:val="50"/>
    <w:uiPriority w:val="9"/>
    <w:semiHidden/>
    <w:unhideWhenUsed/>
    <w:qFormat/>
    <w:rsid w:val="0057732B"/>
    <w:pPr>
      <w:keepNext/>
      <w:keepLines/>
      <w:spacing w:before="80" w:after="40"/>
      <w:outlineLvl w:val="4"/>
    </w:pPr>
    <w:rPr>
      <w:rFonts w:asciiTheme="minorHAnsi" w:eastAsiaTheme="majorEastAsia" w:hAnsiTheme="minorHAnsi" w:cstheme="majorBidi"/>
      <w:color w:val="0F4761" w:themeColor="accent1" w:themeShade="BF"/>
      <w:kern w:val="2"/>
      <w:lang w:val="ru-KZ" w:eastAsia="en-US"/>
      <w14:ligatures w14:val="standardContextual"/>
    </w:rPr>
  </w:style>
  <w:style w:type="paragraph" w:styleId="6">
    <w:name w:val="heading 6"/>
    <w:basedOn w:val="a"/>
    <w:next w:val="a"/>
    <w:link w:val="60"/>
    <w:uiPriority w:val="9"/>
    <w:semiHidden/>
    <w:unhideWhenUsed/>
    <w:qFormat/>
    <w:rsid w:val="0057732B"/>
    <w:pPr>
      <w:keepNext/>
      <w:keepLines/>
      <w:spacing w:before="40" w:after="0"/>
      <w:outlineLvl w:val="5"/>
    </w:pPr>
    <w:rPr>
      <w:rFonts w:asciiTheme="minorHAnsi" w:eastAsiaTheme="majorEastAsia" w:hAnsiTheme="minorHAnsi" w:cstheme="majorBidi"/>
      <w:i/>
      <w:iCs/>
      <w:color w:val="595959" w:themeColor="text1" w:themeTint="A6"/>
      <w:kern w:val="2"/>
      <w:lang w:val="ru-KZ" w:eastAsia="en-US"/>
      <w14:ligatures w14:val="standardContextual"/>
    </w:rPr>
  </w:style>
  <w:style w:type="paragraph" w:styleId="7">
    <w:name w:val="heading 7"/>
    <w:basedOn w:val="a"/>
    <w:next w:val="a"/>
    <w:link w:val="70"/>
    <w:uiPriority w:val="9"/>
    <w:semiHidden/>
    <w:unhideWhenUsed/>
    <w:qFormat/>
    <w:rsid w:val="0057732B"/>
    <w:pPr>
      <w:keepNext/>
      <w:keepLines/>
      <w:spacing w:before="40" w:after="0"/>
      <w:outlineLvl w:val="6"/>
    </w:pPr>
    <w:rPr>
      <w:rFonts w:asciiTheme="minorHAnsi" w:eastAsiaTheme="majorEastAsia" w:hAnsiTheme="minorHAnsi" w:cstheme="majorBidi"/>
      <w:color w:val="595959" w:themeColor="text1" w:themeTint="A6"/>
      <w:kern w:val="2"/>
      <w:lang w:val="ru-KZ" w:eastAsia="en-US"/>
      <w14:ligatures w14:val="standardContextual"/>
    </w:rPr>
  </w:style>
  <w:style w:type="paragraph" w:styleId="8">
    <w:name w:val="heading 8"/>
    <w:basedOn w:val="a"/>
    <w:next w:val="a"/>
    <w:link w:val="80"/>
    <w:uiPriority w:val="9"/>
    <w:semiHidden/>
    <w:unhideWhenUsed/>
    <w:qFormat/>
    <w:rsid w:val="0057732B"/>
    <w:pPr>
      <w:keepNext/>
      <w:keepLines/>
      <w:spacing w:after="0"/>
      <w:outlineLvl w:val="7"/>
    </w:pPr>
    <w:rPr>
      <w:rFonts w:asciiTheme="minorHAnsi" w:eastAsiaTheme="majorEastAsia" w:hAnsiTheme="minorHAnsi" w:cstheme="majorBidi"/>
      <w:i/>
      <w:iCs/>
      <w:color w:val="272727" w:themeColor="text1" w:themeTint="D8"/>
      <w:kern w:val="2"/>
      <w:lang w:val="ru-KZ" w:eastAsia="en-US"/>
      <w14:ligatures w14:val="standardContextual"/>
    </w:rPr>
  </w:style>
  <w:style w:type="paragraph" w:styleId="9">
    <w:name w:val="heading 9"/>
    <w:basedOn w:val="a"/>
    <w:next w:val="a"/>
    <w:link w:val="90"/>
    <w:uiPriority w:val="9"/>
    <w:semiHidden/>
    <w:unhideWhenUsed/>
    <w:qFormat/>
    <w:rsid w:val="0057732B"/>
    <w:pPr>
      <w:keepNext/>
      <w:keepLines/>
      <w:spacing w:after="0"/>
      <w:outlineLvl w:val="8"/>
    </w:pPr>
    <w:rPr>
      <w:rFonts w:asciiTheme="minorHAnsi" w:eastAsiaTheme="majorEastAsia" w:hAnsiTheme="minorHAnsi" w:cstheme="majorBidi"/>
      <w:color w:val="272727" w:themeColor="text1" w:themeTint="D8"/>
      <w:kern w:val="2"/>
      <w:lang w:val="ru-KZ"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spacing w:after="120"/>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spacing w:after="120"/>
      <w:ind w:left="720"/>
      <w:contextualSpacing/>
    </w:pPr>
    <w:rPr>
      <w:rFonts w:asciiTheme="minorHAnsi" w:eastAsiaTheme="minorHAnsi" w:hAnsiTheme="minorHAnsi" w:cstheme="minorBidi"/>
      <w:kern w:val="2"/>
      <w:lang w:val="ru-KZ" w:eastAsia="en-US"/>
      <w14:ligatures w14:val="standardContextual"/>
    </w:rPr>
  </w:style>
  <w:style w:type="paragraph" w:styleId="21">
    <w:name w:val="Quote"/>
    <w:basedOn w:val="a"/>
    <w:next w:val="a"/>
    <w:link w:val="22"/>
    <w:uiPriority w:val="29"/>
    <w:qFormat/>
    <w:rsid w:val="0057732B"/>
    <w:pPr>
      <w:spacing w:before="160" w:after="120"/>
      <w:jc w:val="center"/>
    </w:pPr>
    <w:rPr>
      <w:rFonts w:asciiTheme="minorHAnsi" w:eastAsiaTheme="minorHAnsi" w:hAnsiTheme="minorHAnsi" w:cstheme="minorBidi"/>
      <w:i/>
      <w:iCs/>
      <w:color w:val="404040" w:themeColor="text1" w:themeTint="BF"/>
      <w:kern w:val="2"/>
      <w:lang w:val="ru-KZ" w:eastAsia="en-US"/>
      <w14:ligatures w14:val="standardContextual"/>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ru-KZ" w:eastAsia="en-US"/>
      <w14:ligatures w14:val="standardContextual"/>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6745AB"/>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6745AB"/>
    <w:rPr>
      <w:rFonts w:ascii="Times New Roman" w:eastAsiaTheme="minorEastAsia" w:hAnsi="Times New Roman" w:cs="Times New Roman"/>
      <w:b/>
      <w:kern w:val="0"/>
      <w:sz w:val="24"/>
      <w:szCs w:val="24"/>
      <w:lang w:val="kk-KZ" w:eastAsia="ru-RU"/>
      <w14:ligatures w14:val="none"/>
    </w:rPr>
  </w:style>
  <w:style w:type="paragraph" w:styleId="af">
    <w:name w:val="Normal (Web)"/>
    <w:basedOn w:val="a"/>
    <w:uiPriority w:val="99"/>
    <w:unhideWhenUsed/>
    <w:rsid w:val="006745AB"/>
    <w:pPr>
      <w:spacing w:before="100" w:beforeAutospacing="1" w:after="100" w:afterAutospacing="1" w:line="240" w:lineRule="auto"/>
    </w:pPr>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1150</Words>
  <Characters>6556</Characters>
  <Application>Microsoft Office Word</Application>
  <DocSecurity>0</DocSecurity>
  <Lines>54</Lines>
  <Paragraphs>15</Paragraphs>
  <ScaleCrop>false</ScaleCrop>
  <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2</cp:revision>
  <dcterms:created xsi:type="dcterms:W3CDTF">2026-09-18T20:28:00Z</dcterms:created>
  <dcterms:modified xsi:type="dcterms:W3CDTF">2026-09-18T20:28:00Z</dcterms:modified>
</cp:coreProperties>
</file>