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63A5" w14:textId="77777777" w:rsidR="00CB7182" w:rsidRPr="00CD2874" w:rsidRDefault="00CB7182" w:rsidP="00CB7182">
      <w:pPr>
        <w:pStyle w:val="12"/>
        <w:rPr>
          <w:rFonts w:eastAsia="Times New Roman"/>
        </w:rPr>
      </w:pPr>
      <w:r w:rsidRPr="00CD2874">
        <w:rPr>
          <w:rFonts w:eastAsia="Times New Roman"/>
        </w:rPr>
        <w:t xml:space="preserve">4-ТАҚЫРЫП. АЗАМАТТЫҚ-ҚҰҚЫҚТЫҚ ҚАТЫНАСТЫҢ СУБЪЕКТІ РЕТІНДЕ </w:t>
      </w:r>
      <w:r>
        <w:rPr>
          <w:rFonts w:eastAsia="Times New Roman"/>
        </w:rPr>
        <w:t xml:space="preserve"> </w:t>
      </w:r>
      <w:r w:rsidRPr="00CD2874">
        <w:rPr>
          <w:rFonts w:eastAsia="Times New Roman"/>
        </w:rPr>
        <w:t>ЖЕКЕ ТҰЛҒАЛАР</w:t>
      </w:r>
    </w:p>
    <w:p w14:paraId="45868D67" w14:textId="77777777" w:rsidR="00CB7182" w:rsidRPr="00CD2874" w:rsidRDefault="00CB7182" w:rsidP="00CB7182">
      <w:pPr>
        <w:spacing w:after="0" w:line="240" w:lineRule="auto"/>
        <w:ind w:firstLine="340"/>
        <w:jc w:val="both"/>
        <w:rPr>
          <w:rFonts w:ascii="Times New Roman" w:hAnsi="Times New Roman"/>
          <w:color w:val="000000" w:themeColor="text1"/>
          <w:szCs w:val="28"/>
          <w:lang w:val="kk-KZ"/>
        </w:rPr>
      </w:pPr>
    </w:p>
    <w:p w14:paraId="55EB87CD"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D2874">
        <w:rPr>
          <w:rFonts w:ascii="Times New Roman" w:hAnsi="Times New Roman"/>
          <w:color w:val="000000" w:themeColor="text1"/>
          <w:szCs w:val="28"/>
          <w:lang w:val="kk-KZ"/>
        </w:rPr>
        <w:t xml:space="preserve"> </w:t>
      </w:r>
      <w:r w:rsidRPr="00CB7182">
        <w:rPr>
          <w:rFonts w:ascii="Times New Roman" w:hAnsi="Times New Roman"/>
          <w:color w:val="000000" w:themeColor="text1"/>
          <w:sz w:val="24"/>
          <w:szCs w:val="24"/>
          <w:lang w:val="kk-KZ"/>
        </w:rPr>
        <w:t xml:space="preserve">Азаматтық құқық саласындағы қоғамдық қатынастардың негізгі қатысушыларының бірі – жеке тұлғалар болып табылады. Жеке тұлғалардың азаматтық-құқықтық қатынастарға қатысуы азаматтық құқықтың адамға, оның мүдделері мен еркіндігіне бағдарланғанын көрсетеді. Осы тұрғыда жеке тұлға азаматтық құқық субъектісі ретінде азаматтық айналымда дербес орын алады және құқықтық қатынастардың қалыптасуы мен дамуына тікелей ықпал етеді. </w:t>
      </w:r>
    </w:p>
    <w:p w14:paraId="47C5A614"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Қазақстан Республикасының Азаматтық кодексінде жеке тұлға ұғымы нақты бекітіліп, оның азаматтық құқықтық мәртебесінің негізгі элементтері айқындалған. Атап айтқанда, Кодекске сәйкес жеке тұлға ретінде Қазақстан Республикасының азаматтары, шетел азаматтары сондай-ақ азаматтығы жоқ адамдар танылады. Бұл ереже азаматтық құқықтық қатынастардың субъектілік құрамының әмбебап сипатын көрсетіп, теңдік қағидасын қамтамасыз етеді.</w:t>
      </w:r>
    </w:p>
    <w:p w14:paraId="0481289B"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Жеке тұлғаның азаматтық-құқықтық мәртебесі, ең алдымен, оның құқық қабілеттілігімен және әрекет қабілеттілігімен айқындалады. Азаматтық құқық қабілеттілігі жеке тұлғаның азаматтық құқықтарға ие болу және міндеттерді атқару мүмкіндігін білдіреді. ҚР Азаматтық кодексінде құқық қабілеттілігі адамның туған сәтінен бастап пайда болып, оның қайтыс болуымен тоқтатылатыны көзделген. Бұл қағида жеке тұлғаның құқықтық мәртебесінің табиғи және ажырамас сипатын көрсетеді [10].</w:t>
      </w:r>
    </w:p>
    <w:p w14:paraId="69FF85E4"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Құқық қабілеттілігі барлық жеке тұлғалар үшін тең болып табылады және ол мүліктік те, мүліктік емес те құқықтарды қамтиды. Мәселен, жеке тұлға меншік иесі болуға, мұрагерлікке, кәсіпкерлік қызметпен айналысуға, мәмілелер жасауға, сондай-ақ ар-намысын, қадір-қасиетін және іскерлік беделін қорғауға құқылы. Бұл құқықтардың көлемі жеке тұлғаның жынысына, ұлтына, әлеуметтік жағдайына немесе тұрғылықты жеріне байланысты шектелмейді. </w:t>
      </w:r>
    </w:p>
    <w:p w14:paraId="0AC075E4"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Азаматтық құқықтық қатынастардағы жеке тұлғаның құқықтық мәртебесін айқындайтын келесі маңызды элемент – әрекет қабілеттілігі. Әрекет қабілеттілігі жеке тұлғаның өз әрекеттері арқылы азаматтық құқықтар мен міндеттерді жүзеге асыру қабілетін білдіреді. ҚР Азаматтық кодексіне сәйкес толық әрекет қабілеттілігі, әдетте, он сегіз жасқа толған сәттен бастап пайда болады. Бұл жас шамасы тұлғаның азаматтық айналымға саналы және жауапты түрде қатысу мүмкіндігін білдіреді. </w:t>
      </w:r>
    </w:p>
    <w:p w14:paraId="14775B30"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Сонымен қатар, Азаматтық кодексте әрекет қабілеттілігінің шектелген және ішінара, түрлері де көзделген. Кәмелетке толмаған тұлғалар жас ерекшеліктеріне қарай белгілі бір көлемде азаматтық құқықтарды дербес жүзеге асыра алады. Бұл нормалар жеке тұлғаның мүдделерін қорғауға және оның құқықтық қауіпсіздігін қамтамасыз етуге бағытталған. Ал сот шешімімен әрекет қабілеттілігі шектелген немесе әрекетке қабілетсіз деп танылған тұлғалардың азаматтық құқықтық қатынастарға қатысуы заңда белгіленген тәртіппен жүзеге асырылады. </w:t>
      </w:r>
    </w:p>
    <w:p w14:paraId="41F1EC1F"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Жеке тұлғалар азаматтық-құқықтық қатынастарға әртүрлі құқықтық негіздер арқылы қатысады. Олар шарттық қатынастардың тараптары ретінде, мұрагер ретінде, меншік иесі ретінде, зиян келтіруші немесе зиян шегуші тұлға ретінде әрекет ете алады. Бұл ретте азаматтық құқықтық қатынастардың мазмұны жеке тұлғаның субъективтік құқықтары мен заңдық міндеттерінің жиынтығынан тұрады. </w:t>
      </w:r>
    </w:p>
    <w:p w14:paraId="78FC3720"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Азаматтық кодексте жеке тұлғалардың құқықтарын жүзеге асыру қағидаттары да нақты бекітілген. Атап айтқанда, азаматтық құқықтарды адал, ақылға қонымды және әділ түрде жүзеге асыру талабы белгіленген. Бұл қағида жеке тұлғаның өз құқықтарын жүзеге асыру барысында басқа қатысушылардың құқықтары мен заңды мүдделеріне зиян келтірмеуін қамтамасыз етеді. Құқықты теріс пайдалану азаматтық құқықта жол берілмейтін әрекет ретінде танылады және ол заңмен белгіленген құқықтық салдарға әкеп соғады. </w:t>
      </w:r>
    </w:p>
    <w:p w14:paraId="7EDBCCF8"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lastRenderedPageBreak/>
        <w:t xml:space="preserve"> Жеке тұлғалардың азаматтық-құқықтық қатынастардағы жауапкершілігі де маңызды мәнге ие. Азаматтық құқықта жеке тұлға өз міндеттерін орындамағаны немесе тиісінше орындамағаны үшін мүліктік жауапкершілікке тартылады. Бұл жауапкершілік, әдетте, келтірілген залалды өтеу, айыппұл немесе өсімпұл төлеу түрінде көрініс табады. Мұндай құқықтық тетіктер азаматтық айналымдағы тұрақтылық пен сенімділікті қамтамасыз етуге бағытталған. </w:t>
      </w:r>
    </w:p>
    <w:p w14:paraId="51533A28"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Жеке тұлғалар азаматтық-құқықтық қатынастардың негізгі әрі әмбебап субъектілері болып табылады. Олардың құқықтық мәртебесі ҚР Азаматтық кодексінде жан-жақты реттеліп, құқық қабілеттілігі мен әрекет қабілеттілігі арқылы айқындалады. Жеке тұлғалардың азаматтық айналымға қатысуы құқықтық теңдік, еркіндік және жауапкершілік қағидаттарына негізделеді. Бұл өз кезегінде азаматтық құқықтың қоғамдағы реттеуші рөлін күшейтіп, жеке адамның құқықтары мен заңды мүдделерін тиімді қорғауға мүмкіндік береді. </w:t>
      </w:r>
    </w:p>
    <w:p w14:paraId="00EAF850"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Жеке тұлғаның азаматтық-құқықтық қатынастарға қатысу мүмкіндігі оның әрекет қабілеттілігімен тікелей байланысты. Әрекет қабілеттілігі азаматтық құқықта тұлғаның өз әрекеттері арқылы азаматтық құқықтар мен міндеттерді иелену, оларды жүзеге асыру және орындау қабілетін білдіреді. Қазақстан Республикасының Азаматтық кодексінде әрекет қабілеттіліктің көлемі тұлғаның жасына, психикалық жағдайына және сот шешіміне байланысты айқындалады. </w:t>
      </w:r>
    </w:p>
    <w:p w14:paraId="5144B821"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ҚР Азаматтық кодексіне сәйкес он төрт жасқа дейінгі кәмелетке толмағандар толық әрекет қабілеттілігіне ие болмайды. Бұл жас санатындағы тұлғалар, әдетте, өз атынан азаматтық-құқықтық мәмілелер жасай алмайды. Олардың атынан мәмілелерді ата-аналары, асырап алушылары немесе қамқоршылары жүзеге асырады. </w:t>
      </w:r>
    </w:p>
    <w:p w14:paraId="5458A421"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Сонымен бірге заңда тұрмыстық ұсақ мәмілелер жасау мүмкіндігі көзделген. Мұндай мәмілелер баланың жасына сай келетін, күнделікті тұрмыстық қажеттіліктерді қанағаттандыруға бағытталған және айтарлықтай мүліктік салдарға әкеп соқпайтын әрекеттерді қамтиды. Бұл ереже баланың күнделікті өмірге бейімделуін қамтамасыз етуге және оның мүдделерін қорғауға бағытталған. </w:t>
      </w:r>
    </w:p>
    <w:p w14:paraId="679D58A2"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Он төрт жастан он сегіз жасқа дейінгі кәмелетке толмағандар ішінара әрекет қабілеттілігіне ие болып табылады. ҚР Азаматтық кодексінде бұл жас санатындағы тұлғаларға белгілі бір азаматтық құқықтарды дербес жүзеге асыру мүмкіндігі берілген. Атап айтқанда, олар өз еңбегінен, стипендиясынан немесе өзге де заңды табыстарынан өз бетінше билік етуге құқылы [11]. </w:t>
      </w:r>
    </w:p>
    <w:p w14:paraId="1A5E261B"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Сонымен қатар, мұндай тұлғалар авторлық құқық объектілеріне құқықтарды жүзеге асыра алады, банктік салымдар енгізуге және оларды басқаруға құқылы. Алайда, өзге мәмілелерді жасау үшін олардың заңды өкілдерінің келісімі талап етіледі. Бұл шектеулер кәмелетке толмаған тұлғаның құқықтарын қорғау және оның азаматтық айналымдағы қауіпсіздігін қамтамасыз ету мақсатында белгіленген. </w:t>
      </w:r>
    </w:p>
    <w:p w14:paraId="28E898D3"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Әрекет қабілеттілікті шектеу институты азаматтық құқықта ерекше мәнге ие. ҚР Азаматтық кодексіне сәйкес, спирттік ішімдіктерді, есірткі немесе психотроптық заттарды шамадан тыс пайдалануы салдарынан өз отбасын ауыр материалдық жағдайға ұшырататын тұлға сот тәртібімен әрекет қабілеттілігі шектеулі деп танылуы мүмкін [2]. </w:t>
      </w:r>
    </w:p>
    <w:p w14:paraId="7E3BA746"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Әрекет қабілеттілігі шектеулі тұлға ұсақ тұрмыстық мәмілелерді өз бетінше жасай алады, ал өзге мәмілелерді тек қамқоршысының келісімімен жүзеге асырады. Мұндай құқықтық тетік тұлғаның мүдделерімен қатар, оның отбасы мүшелерінің де құқықтары мен заңды мүдделерін қорғауға бағытталған. </w:t>
      </w:r>
    </w:p>
    <w:p w14:paraId="518D135A"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Әрекет қабілеттіліктен айыру – азаматтық құқықтағы ең қатаң шектеу шараларының бірі. ҚР Азаматтық кодексіне сәйкес, психикалық ауруы немесе ақыл-есінің кемістігі салдарынан өз әрекеттерінің мәнін түсіне алмайтын немесе оларды басқара алмайтын тұлға сот шешімімен әрекетке қабілетсіз деп танылуы мүмкін. </w:t>
      </w:r>
    </w:p>
    <w:p w14:paraId="2C2C4554"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Мұндай тұлғаның атынан барлық азаматтық-құқықтық мәмілелерді оның заңды өкілі – қорғаншысы жүзеге асырады. Әрекет қабілеттіліктен айыру тұлғаның жеке басын кемсіту </w:t>
      </w:r>
      <w:r w:rsidRPr="00CB7182">
        <w:rPr>
          <w:rFonts w:ascii="Times New Roman" w:hAnsi="Times New Roman"/>
          <w:color w:val="000000" w:themeColor="text1"/>
          <w:sz w:val="24"/>
          <w:szCs w:val="24"/>
          <w:lang w:val="kk-KZ"/>
        </w:rPr>
        <w:lastRenderedPageBreak/>
        <w:t xml:space="preserve">емес, керісінше оның құқықтары мен мүдделерін қорғауға бағытталған құқықтық құрал болып табылады. </w:t>
      </w:r>
    </w:p>
    <w:p w14:paraId="396C74FE"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Хабар-ошарсыз кету институты азаматтық құқықтық қатынастардағы құқықтық айқындықты қамтамасыз етуге бағытталған. ҚР Азаматтық кодексіне сәйкес, егер тұлға өзінің тұрғылықты жерінде бір жыл бойы хабарсыз жоғалып кетсе және оның қайда екендігі туралы мәлімет болмаса, сот оны хабар-ошарсыз кетті деп тануы мүмкін. </w:t>
      </w:r>
    </w:p>
    <w:p w14:paraId="10D10713"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Хабар-ошарсыз кеткен тұлғаның мүлкіне қамқоршылық белгіленеді. Бұл шара мүліктің сақталуын және оның заңды пайдаланылуын қамтамасыз етуге бағытталған. </w:t>
      </w:r>
    </w:p>
    <w:p w14:paraId="3E090C5D"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Егер тұлға белгілі бір мерзім бойы хабарсыз болып, оның тірі екендігі туралы деректер болмаса, заңда белгіленген жағдайларда сот оны өлді деп жариялауы мүмкін. ҚР Азаматтық кодексінде бұл мерзімдер нақты көрсетілген және ерекше жағдайларда қысқартылуы мүмкін. </w:t>
      </w:r>
    </w:p>
    <w:p w14:paraId="7C2C28EB"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Өлді деп жариялау азаматтық құқықтық қатынастарда мұрагерлік, неке қатынастарының тоқтатылуы және мүліктік құқықтардың ауысуы сияқты құқықтық салдарға әкеп соғады. </w:t>
      </w:r>
    </w:p>
    <w:p w14:paraId="452AB71B"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Өлді деп жарияланған немесе хабар-ошарсыз кетті деп танылған тұлға тірі оралған жағдайда, ҚР Азаматтық. Кодексінде арнайы құқықтық салдарлар көзделген. Мұндай жағдайда сот шешімі жойылады, ал тұлғаның құқықтық мәртебесі қалпына келтіріледі. </w:t>
      </w:r>
    </w:p>
    <w:p w14:paraId="12BF6AD7" w14:textId="77777777" w:rsidR="00CB7182" w:rsidRPr="00CB7182" w:rsidRDefault="00CB7182" w:rsidP="00CB7182">
      <w:pPr>
        <w:spacing w:after="0" w:line="240" w:lineRule="auto"/>
        <w:ind w:firstLine="340"/>
        <w:jc w:val="both"/>
        <w:rPr>
          <w:rFonts w:ascii="Times New Roman" w:hAnsi="Times New Roman"/>
          <w:color w:val="000000" w:themeColor="text1"/>
          <w:sz w:val="24"/>
          <w:szCs w:val="24"/>
          <w:lang w:val="kk-KZ"/>
        </w:rPr>
      </w:pPr>
      <w:r w:rsidRPr="00CB7182">
        <w:rPr>
          <w:rFonts w:ascii="Times New Roman" w:hAnsi="Times New Roman"/>
          <w:color w:val="000000" w:themeColor="text1"/>
          <w:sz w:val="24"/>
          <w:szCs w:val="24"/>
          <w:lang w:val="kk-KZ"/>
        </w:rPr>
        <w:t xml:space="preserve"> Тұлға өзіне тиесілі мүлікті заңда көзделген тәртіппен қайтаруды талап етуге құқылы. Бұл норма азаматтық құқықтағы әділеттілік пен құқықтарды қалпына келтіру қағидаттарының көрінісі болып табылады.</w:t>
      </w:r>
    </w:p>
    <w:p w14:paraId="110417FF" w14:textId="77777777" w:rsidR="00692220" w:rsidRPr="00CB7182" w:rsidRDefault="00692220">
      <w:pPr>
        <w:rPr>
          <w:lang w:val="kk-KZ"/>
        </w:rPr>
      </w:pPr>
    </w:p>
    <w:sectPr w:rsidR="00692220" w:rsidRPr="00CB71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29"/>
    <w:rsid w:val="000E15AA"/>
    <w:rsid w:val="00181829"/>
    <w:rsid w:val="0057732B"/>
    <w:rsid w:val="00692220"/>
    <w:rsid w:val="008144E6"/>
    <w:rsid w:val="008C76E6"/>
    <w:rsid w:val="009F666C"/>
    <w:rsid w:val="00C456E5"/>
    <w:rsid w:val="00CB718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A031"/>
  <w15:chartTrackingRefBased/>
  <w15:docId w15:val="{4CE714D0-05CD-439F-8FEB-02656DD0B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182"/>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CB7182"/>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CB7182"/>
    <w:rPr>
      <w:rFonts w:ascii="Times New Roman" w:eastAsiaTheme="minorEastAsia" w:hAnsi="Times New Roman" w:cs="Times New Roman"/>
      <w:b/>
      <w:kern w:val="0"/>
      <w:sz w:val="24"/>
      <w:szCs w:val="24"/>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1339</Words>
  <Characters>7636</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2026-09-18T20:24:00Z</dcterms:created>
  <dcterms:modified xsi:type="dcterms:W3CDTF">2026-09-18T20:24:00Z</dcterms:modified>
</cp:coreProperties>
</file>