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2E4C9E"/>
          <w:sz w:val="40"/>
          <w:szCs w:val="40"/>
        </w:rPr>
        <w:t xml:space="preserve">NEVA CRM</w:t>
      </w:r>
    </w:p>
    <w:p>
      <w:pPr>
        <w:spacing w:after="40"/>
        <w:jc w:val="center"/>
      </w:pPr>
      <w:r>
        <w:rPr>
          <w:color w:val="1F2937"/>
          <w:sz w:val="26"/>
          <w:szCs w:val="26"/>
        </w:rPr>
        <w:t xml:space="preserve">Multi-Tenant CRM SaaS Platform</w:t>
      </w:r>
    </w:p>
    <w:p>
      <w:pPr>
        <w:spacing w:after="600"/>
        <w:jc w:val="center"/>
      </w:pPr>
      <w:r>
        <w:rPr>
          <w:b/>
          <w:bCs/>
          <w:color w:val="1F2937"/>
          <w:sz w:val="26"/>
          <w:szCs w:val="26"/>
        </w:rPr>
        <w:t xml:space="preserve">Communication Channels Integration — Technical Reference &amp; Cost Documentation</w:t>
      </w:r>
    </w:p>
    <w:p>
      <w:pPr>
        <w:spacing w:after="60"/>
        <w:jc w:val="center"/>
      </w:pPr>
      <w:r>
        <w:rPr>
          <w:i/>
          <w:iCs/>
          <w:color w:val="6B7280"/>
          <w:sz w:val="22"/>
          <w:szCs w:val="22"/>
        </w:rPr>
        <w:t xml:space="preserve">Milestones: Email Integration · SMS &amp; Telephone · WhatsApp Business API</w:t>
      </w:r>
    </w:p>
    <w:p>
      <w:pPr>
        <w:spacing w:after="400"/>
        <w:jc w:val="center"/>
      </w:pPr>
      <w:r>
        <w:rPr>
          <w:i/>
          <w:iCs/>
          <w:color w:val="6B7280"/>
          <w:sz w:val="20"/>
          <w:szCs w:val="20"/>
        </w:rPr>
        <w:t xml:space="preserve">Confidential — Prepared for Client Review</w:t>
      </w:r>
    </w:p>
    <w:p>
      <w:pPr>
        <w:pStyle w:val="Heading1"/>
        <w:spacing w:after="160" w:before="300"/>
      </w:pPr>
      <w:r>
        <w:t xml:space="preserve">About This Document</w:t>
      </w:r>
    </w:p>
    <w:p>
      <w:pPr>
        <w:spacing w:after="120"/>
      </w:pPr>
      <w:r>
        <w:rPr>
          <w:color w:val="1F2937"/>
          <w:sz w:val="22"/>
          <w:szCs w:val="22"/>
        </w:rPr>
        <w:t xml:space="preserve">This document describes the tools, providers, third-party costs, and business requirements for the three upcoming Neva CRM integration milestones: Email Integration, SMS &amp; Telephone, and WhatsApp Business API. It is intended to help the client understand what each milestone delivers, what ongoing platform costs to expect, and what each subscribing business will need to provide (for example, business verification documents or a website) before the feature can go live.</w:t>
      </w:r>
    </w:p>
    <w:p>
      <w:pPr>
        <w:spacing w:after="120"/>
      </w:pPr>
      <w:r>
        <w:rPr>
          <w:color w:val="1F2937"/>
          <w:sz w:val="22"/>
          <w:szCs w:val="22"/>
        </w:rPr>
        <w:t xml:space="preserve">Development pricing for each milestone (paid to the development team) is shown separately from third-party platform/usage costs (paid by the client or passed through to tenant businesses using the CRM).</w:t>
      </w:r>
    </w:p>
    <w:p>
      <w:pPr>
        <w:pStyle w:val="Heading2"/>
        <w:spacing w:after="120" w:before="240"/>
      </w:pPr>
      <w:r>
        <w:t xml:space="preserve">Summary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1400"/>
        <w:gridCol w:w="2900"/>
      </w:tblGrid>
      <w:tr>
        <w:tc>
          <w:tcPr>
            <w:tcW w:type="dxa" w:w="2900"/>
            <w:shd w:fill="2E4C9E" w:val="clear"/>
            <w:tcMar>
              <w:top w:type="dxa" w:w="80"/>
              <w:left w:type="dxa" w:w="100"/>
              <w:bottom w:type="dxa" w:w="80"/>
              <w:right w:type="dxa" w:w="100"/>
            </w:tcMar>
          </w:tcPr>
          <w:p>
            <w:r>
              <w:rPr>
                <w:b/>
                <w:bCs/>
                <w:color w:val="FFFFFF"/>
                <w:sz w:val="20"/>
                <w:szCs w:val="20"/>
              </w:rPr>
              <w:t xml:space="preserve">Milestone</w:t>
            </w:r>
          </w:p>
        </w:tc>
        <w:tc>
          <w:tcPr>
            <w:tcW w:type="dxa" w:w="2900"/>
            <w:shd w:fill="2E4C9E" w:val="clear"/>
            <w:tcMar>
              <w:top w:type="dxa" w:w="80"/>
              <w:left w:type="dxa" w:w="100"/>
              <w:bottom w:type="dxa" w:w="80"/>
              <w:right w:type="dxa" w:w="100"/>
            </w:tcMar>
          </w:tcPr>
          <w:p>
            <w:r>
              <w:rPr>
                <w:b/>
                <w:bCs/>
                <w:color w:val="FFFFFF"/>
                <w:sz w:val="20"/>
                <w:szCs w:val="20"/>
              </w:rPr>
              <w:t xml:space="preserve">Recommended Provider</w:t>
            </w:r>
          </w:p>
        </w:tc>
        <w:tc>
          <w:tcPr>
            <w:tcW w:type="dxa" w:w="1400"/>
            <w:shd w:fill="2E4C9E" w:val="clear"/>
            <w:tcMar>
              <w:top w:type="dxa" w:w="80"/>
              <w:left w:type="dxa" w:w="100"/>
              <w:bottom w:type="dxa" w:w="80"/>
              <w:right w:type="dxa" w:w="100"/>
            </w:tcMar>
          </w:tcPr>
          <w:p>
            <w:r>
              <w:rPr>
                <w:b/>
                <w:bCs/>
                <w:color w:val="FFFFFF"/>
                <w:sz w:val="20"/>
                <w:szCs w:val="20"/>
              </w:rPr>
              <w:t xml:space="preserve">Dev. Cost</w:t>
            </w:r>
          </w:p>
        </w:tc>
        <w:tc>
          <w:tcPr>
            <w:tcW w:type="dxa" w:w="2900"/>
            <w:shd w:fill="2E4C9E" w:val="clear"/>
            <w:tcMar>
              <w:top w:type="dxa" w:w="80"/>
              <w:left w:type="dxa" w:w="100"/>
              <w:bottom w:type="dxa" w:w="80"/>
              <w:right w:type="dxa" w:w="100"/>
            </w:tcMar>
          </w:tcPr>
          <w:p>
            <w:r>
              <w:rPr>
                <w:b/>
                <w:bCs/>
                <w:color w:val="FFFFFF"/>
                <w:sz w:val="20"/>
                <w:szCs w:val="20"/>
              </w:rPr>
              <w:t xml:space="preserve">Ongoing Cost Model</w:t>
            </w:r>
          </w:p>
        </w:tc>
      </w:tr>
      <w:tr>
        <w:tc>
          <w:tcPr>
            <w:tcW w:type="dxa" w:w="2900"/>
            <w:shd w:fill="FFFFFF" w:val="clear"/>
            <w:tcMar>
              <w:top w:type="dxa" w:w="80"/>
              <w:left w:type="dxa" w:w="100"/>
              <w:bottom w:type="dxa" w:w="80"/>
              <w:right w:type="dxa" w:w="100"/>
            </w:tcMar>
          </w:tcPr>
          <w:p>
            <w:r>
              <w:rPr>
                <w:b w:val="false"/>
                <w:bCs w:val="false"/>
                <w:color w:val="1F2937"/>
                <w:sz w:val="20"/>
                <w:szCs w:val="20"/>
              </w:rPr>
              <w:t xml:space="preserve">Email Integration</w:t>
            </w:r>
          </w:p>
        </w:tc>
        <w:tc>
          <w:tcPr>
            <w:tcW w:type="dxa" w:w="2900"/>
            <w:shd w:fill="FFFFFF" w:val="clear"/>
            <w:tcMar>
              <w:top w:type="dxa" w:w="80"/>
              <w:left w:type="dxa" w:w="100"/>
              <w:bottom w:type="dxa" w:w="80"/>
              <w:right w:type="dxa" w:w="100"/>
            </w:tcMar>
          </w:tcPr>
          <w:p>
            <w:r>
              <w:rPr>
                <w:b w:val="false"/>
                <w:bCs w:val="false"/>
                <w:color w:val="1F2937"/>
                <w:sz w:val="20"/>
                <w:szCs w:val="20"/>
              </w:rPr>
              <w:t xml:space="preserve">Self-built (Gmail API, Microsoft Graph, IMAP/SMTP)</w:t>
            </w:r>
          </w:p>
        </w:tc>
        <w:tc>
          <w:tcPr>
            <w:tcW w:type="dxa" w:w="1400"/>
            <w:shd w:fill="FFFFFF" w:val="clear"/>
            <w:tcMar>
              <w:top w:type="dxa" w:w="80"/>
              <w:left w:type="dxa" w:w="100"/>
              <w:bottom w:type="dxa" w:w="80"/>
              <w:right w:type="dxa" w:w="100"/>
            </w:tcMar>
          </w:tcPr>
          <w:p>
            <w:r>
              <w:rPr>
                <w:b w:val="false"/>
                <w:bCs w:val="false"/>
                <w:color w:val="1F2937"/>
                <w:sz w:val="20"/>
                <w:szCs w:val="20"/>
              </w:rPr>
              <w:t xml:space="preserve">$100</w:t>
            </w:r>
          </w:p>
        </w:tc>
        <w:tc>
          <w:tcPr>
            <w:tcW w:type="dxa" w:w="2900"/>
            <w:shd w:fill="FFFFFF" w:val="clear"/>
            <w:tcMar>
              <w:top w:type="dxa" w:w="80"/>
              <w:left w:type="dxa" w:w="100"/>
              <w:bottom w:type="dxa" w:w="80"/>
              <w:right w:type="dxa" w:w="100"/>
            </w:tcMar>
          </w:tcPr>
          <w:p>
            <w:r>
              <w:rPr>
                <w:b w:val="false"/>
                <w:bCs w:val="false"/>
                <w:color w:val="1F2937"/>
                <w:sz w:val="20"/>
                <w:szCs w:val="20"/>
              </w:rPr>
              <w:t xml:space="preserve">None — no recurring third-party fee</w:t>
            </w:r>
          </w:p>
        </w:tc>
      </w:tr>
      <w:tr>
        <w:tc>
          <w:tcPr>
            <w:tcW w:type="dxa" w:w="2900"/>
            <w:shd w:fill="EEF2FB" w:val="clear"/>
            <w:tcMar>
              <w:top w:type="dxa" w:w="80"/>
              <w:left w:type="dxa" w:w="100"/>
              <w:bottom w:type="dxa" w:w="80"/>
              <w:right w:type="dxa" w:w="100"/>
            </w:tcMar>
          </w:tcPr>
          <w:p>
            <w:r>
              <w:rPr>
                <w:b w:val="false"/>
                <w:bCs w:val="false"/>
                <w:color w:val="1F2937"/>
                <w:sz w:val="20"/>
                <w:szCs w:val="20"/>
              </w:rPr>
              <w:t xml:space="preserve">SMS &amp; Telephone</w:t>
            </w:r>
          </w:p>
        </w:tc>
        <w:tc>
          <w:tcPr>
            <w:tcW w:type="dxa" w:w="2900"/>
            <w:shd w:fill="EEF2FB" w:val="clear"/>
            <w:tcMar>
              <w:top w:type="dxa" w:w="80"/>
              <w:left w:type="dxa" w:w="100"/>
              <w:bottom w:type="dxa" w:w="80"/>
              <w:right w:type="dxa" w:w="100"/>
            </w:tcMar>
          </w:tcPr>
          <w:p>
            <w:r>
              <w:rPr>
                <w:b w:val="false"/>
                <w:bCs w:val="false"/>
                <w:color w:val="1F2937"/>
                <w:sz w:val="20"/>
                <w:szCs w:val="20"/>
              </w:rPr>
              <w:t xml:space="preserve">Telnyx</w:t>
            </w:r>
          </w:p>
        </w:tc>
        <w:tc>
          <w:tcPr>
            <w:tcW w:type="dxa" w:w="1400"/>
            <w:shd w:fill="EEF2FB" w:val="clear"/>
            <w:tcMar>
              <w:top w:type="dxa" w:w="80"/>
              <w:left w:type="dxa" w:w="100"/>
              <w:bottom w:type="dxa" w:w="80"/>
              <w:right w:type="dxa" w:w="100"/>
            </w:tcMar>
          </w:tcPr>
          <w:p>
            <w:r>
              <w:rPr>
                <w:b w:val="false"/>
                <w:bCs w:val="false"/>
                <w:color w:val="1F2937"/>
                <w:sz w:val="20"/>
                <w:szCs w:val="20"/>
              </w:rPr>
              <w:t xml:space="preserve">$55</w:t>
            </w:r>
          </w:p>
        </w:tc>
        <w:tc>
          <w:tcPr>
            <w:tcW w:type="dxa" w:w="2900"/>
            <w:shd w:fill="EEF2FB" w:val="clear"/>
            <w:tcMar>
              <w:top w:type="dxa" w:w="80"/>
              <w:left w:type="dxa" w:w="100"/>
              <w:bottom w:type="dxa" w:w="80"/>
              <w:right w:type="dxa" w:w="100"/>
            </w:tcMar>
          </w:tcPr>
          <w:p>
            <w:r>
              <w:rPr>
                <w:b w:val="false"/>
                <w:bCs w:val="false"/>
                <w:color w:val="1F2937"/>
                <w:sz w:val="20"/>
                <w:szCs w:val="20"/>
              </w:rPr>
              <w:t xml:space="preserve">Pay-as-you-go, per message/minute</w:t>
            </w:r>
          </w:p>
        </w:tc>
      </w:tr>
      <w:tr>
        <w:tc>
          <w:tcPr>
            <w:tcW w:type="dxa" w:w="2900"/>
            <w:shd w:fill="FFFFFF" w:val="clear"/>
            <w:tcMar>
              <w:top w:type="dxa" w:w="80"/>
              <w:left w:type="dxa" w:w="100"/>
              <w:bottom w:type="dxa" w:w="80"/>
              <w:right w:type="dxa" w:w="100"/>
            </w:tcMar>
          </w:tcPr>
          <w:p>
            <w:r>
              <w:rPr>
                <w:b w:val="false"/>
                <w:bCs w:val="false"/>
                <w:color w:val="1F2937"/>
                <w:sz w:val="20"/>
                <w:szCs w:val="20"/>
              </w:rPr>
              <w:t xml:space="preserve">WhatsApp Business API</w:t>
            </w:r>
          </w:p>
        </w:tc>
        <w:tc>
          <w:tcPr>
            <w:tcW w:type="dxa" w:w="2900"/>
            <w:shd w:fill="FFFFFF" w:val="clear"/>
            <w:tcMar>
              <w:top w:type="dxa" w:w="80"/>
              <w:left w:type="dxa" w:w="100"/>
              <w:bottom w:type="dxa" w:w="80"/>
              <w:right w:type="dxa" w:w="100"/>
            </w:tcMar>
          </w:tcPr>
          <w:p>
            <w:r>
              <w:rPr>
                <w:b w:val="false"/>
                <w:bCs w:val="false"/>
                <w:color w:val="1F2937"/>
                <w:sz w:val="20"/>
                <w:szCs w:val="20"/>
              </w:rPr>
              <w:t xml:space="preserve">Telnyx (same account as SMS &amp; Telephone)</w:t>
            </w:r>
          </w:p>
        </w:tc>
        <w:tc>
          <w:tcPr>
            <w:tcW w:type="dxa" w:w="1400"/>
            <w:shd w:fill="FFFFFF" w:val="clear"/>
            <w:tcMar>
              <w:top w:type="dxa" w:w="80"/>
              <w:left w:type="dxa" w:w="100"/>
              <w:bottom w:type="dxa" w:w="80"/>
              <w:right w:type="dxa" w:w="100"/>
            </w:tcMar>
          </w:tcPr>
          <w:p>
            <w:r>
              <w:rPr>
                <w:b w:val="false"/>
                <w:bCs w:val="false"/>
                <w:color w:val="1F2937"/>
                <w:sz w:val="20"/>
                <w:szCs w:val="20"/>
              </w:rPr>
              <w:t xml:space="preserve">$65</w:t>
            </w:r>
          </w:p>
        </w:tc>
        <w:tc>
          <w:tcPr>
            <w:tcW w:type="dxa" w:w="2900"/>
            <w:shd w:fill="FFFFFF" w:val="clear"/>
            <w:tcMar>
              <w:top w:type="dxa" w:w="80"/>
              <w:left w:type="dxa" w:w="100"/>
              <w:bottom w:type="dxa" w:w="80"/>
              <w:right w:type="dxa" w:w="100"/>
            </w:tcMar>
          </w:tcPr>
          <w:p>
            <w:r>
              <w:rPr>
                <w:b w:val="false"/>
                <w:bCs w:val="false"/>
                <w:color w:val="1F2937"/>
                <w:sz w:val="20"/>
                <w:szCs w:val="20"/>
              </w:rPr>
              <w:t xml:space="preserve">Pay-as-you-go, per-message — no separate platform fee</w:t>
            </w:r>
          </w:p>
        </w:tc>
      </w:tr>
    </w:tbl>
    <w:p>
      <w:pPr>
        <w:spacing w:after="100" w:before="160"/>
      </w:pPr>
      <w:r>
        <w:rPr>
          <w:b/>
          <w:bCs/>
          <w:sz w:val="23"/>
          <w:szCs w:val="23"/>
        </w:rPr>
        <w:t xml:space="preserve">Total Development Cost (all 3 milestones): </w:t>
      </w:r>
      <w:r>
        <w:rPr>
          <w:b/>
          <w:bCs/>
          <w:color w:val="1E7A46"/>
          <w:sz w:val="26"/>
          <w:szCs w:val="26"/>
        </w:rPr>
        <w:t xml:space="preserve">$220</w:t>
      </w:r>
    </w:p>
    <w:p>
      <w:pPr>
        <w:pBdr>
          <w:left w:val="single" w:color="2E4C9E" w:sz="12" w:space="8"/>
        </w:pBdr>
        <w:spacing w:after="160"/>
      </w:pPr>
      <w:r>
        <w:rPr>
          <w:i/>
          <w:iCs/>
          <w:color w:val="6B7280"/>
          <w:sz w:val="20"/>
          <w:szCs w:val="20"/>
        </w:rPr>
        <w:t xml:space="preserve">Ongoing provider costs (Telnyx usage, Meta's WhatsApp message fees) are separate from the $220 development price above. These are usage-based and continue for as long as the feature is active, and are typically passed on to the tenant businesses using the CRM, either bundled into their subscription or billed as a usage-based add-on. Email Integration carries no recurring vendor fee at all, and SMS, Telephone, and WhatsApp are all consolidated under a single vendor (Telnyx) rather than split across two providers — both choices were made specifically to keep costs as low as possible.</w:t>
      </w:r>
    </w:p>
    <w:p>
      <w:pPr>
        <w:pStyle w:val="Heading1"/>
        <w:spacing w:after="160" w:before="300"/>
      </w:pPr>
      <w:r>
        <w:t xml:space="preserve">Milestone 1 — Email Integration</w:t>
      </w:r>
    </w:p>
    <w:p>
      <w:pPr>
        <w:spacing w:after="120"/>
      </w:pPr>
      <w:r>
        <w:rPr>
          <w:color w:val="1F2937"/>
          <w:sz w:val="22"/>
          <w:szCs w:val="22"/>
        </w:rPr>
        <w:t xml:space="preserve">Goal: allow each business's client emails to appear in that client's Communication History inside the CRM, with the ability to search, and to send/reply directly from the tool — matching the two approaches already discussed with the client.</w:t>
      </w:r>
    </w:p>
    <w:p>
      <w:pPr>
        <w:pStyle w:val="Heading2"/>
        <w:spacing w:after="120" w:before="240"/>
      </w:pPr>
      <w:r>
        <w:t xml:space="preserve">Recommended Approach: Self-Built Integration (No Recurring Fee)</w:t>
      </w:r>
    </w:p>
    <w:p>
      <w:pPr>
        <w:spacing w:after="120"/>
      </w:pPr>
      <w:r>
        <w:rPr>
          <w:color w:val="1F2937"/>
          <w:sz w:val="22"/>
          <w:szCs w:val="22"/>
        </w:rPr>
        <w:t xml:space="preserve">Rather than routing email through a paid unified email API (such as Nylas or Unipile), Email Integration will be built in-house by connecting directly to each major email provider's own API. This is the same underlying approach those vendors use internally — the difference is that we own it directly, so there is no per-mailbox monthly fee, ever, no matter how many businesses or staff mailboxes are connected across the platform.</w:t>
      </w:r>
    </w:p>
    <w:p>
      <w:pPr>
        <w:spacing w:after="40"/>
      </w:pPr>
      <w:r>
        <w:rPr>
          <w:b/>
          <w:bCs/>
          <w:color w:val="2E4C9E"/>
          <w:sz w:val="22"/>
          <w:szCs w:val="22"/>
        </w:rPr>
        <w:t xml:space="preserve">Gmail / Google Workspace</w:t>
      </w:r>
    </w:p>
    <w:p>
      <w:pPr>
        <w:spacing w:after="120"/>
      </w:pPr>
      <w:r>
        <w:rPr>
          <w:color w:val="1F2937"/>
          <w:sz w:val="22"/>
          <w:szCs w:val="22"/>
        </w:rPr>
        <w:t xml:space="preserve">Connected directly via the Gmail API using OAuth2 (Google Cloud Console app registration). Scopes are kept to read/send/modify access rather than full mailbox access, so the integration avoids Google's most expensive verification tier. Real-time sync uses Gmail push notifications.</w:t>
      </w:r>
    </w:p>
    <w:p>
      <w:pPr>
        <w:spacing w:after="40"/>
      </w:pPr>
      <w:r>
        <w:rPr>
          <w:b/>
          <w:bCs/>
          <w:color w:val="2E4C9E"/>
          <w:sz w:val="22"/>
          <w:szCs w:val="22"/>
        </w:rPr>
        <w:t xml:space="preserve">Outlook / Microsoft 365</w:t>
      </w:r>
    </w:p>
    <w:p>
      <w:pPr>
        <w:spacing w:after="120"/>
      </w:pPr>
      <w:r>
        <w:rPr>
          <w:color w:val="1F2937"/>
          <w:sz w:val="22"/>
          <w:szCs w:val="22"/>
        </w:rPr>
        <w:t xml:space="preserve">Connected directly via Microsoft Graph API using OAuth2 (Azure AD app registration). Real-time sync uses Graph API subscriptions (webhooks).</w:t>
      </w:r>
    </w:p>
    <w:p>
      <w:pPr>
        <w:spacing w:after="40"/>
      </w:pPr>
      <w:r>
        <w:rPr>
          <w:b/>
          <w:bCs/>
          <w:color w:val="2E4C9E"/>
          <w:sz w:val="22"/>
          <w:szCs w:val="22"/>
        </w:rPr>
        <w:t xml:space="preserve">All other providers (generic business email, smaller hosting providers, legacy setups)</w:t>
      </w:r>
    </w:p>
    <w:p>
      <w:pPr>
        <w:spacing w:after="120"/>
      </w:pPr>
      <w:r>
        <w:rPr>
          <w:color w:val="1F2937"/>
          <w:sz w:val="22"/>
          <w:szCs w:val="22"/>
        </w:rPr>
        <w:t xml:space="preserve">Connected via standard IMAP (read) and SMTP (send) protocols, which every mailbox provider supports without needing a specific API integration.</w:t>
      </w:r>
    </w:p>
    <w:p>
      <w:pPr>
        <w:spacing w:after="120"/>
      </w:pPr>
      <w:r>
        <w:rPr>
          <w:color w:val="1F2937"/>
          <w:sz w:val="22"/>
          <w:szCs w:val="22"/>
        </w:rPr>
        <w:t xml:space="preserve">This covers the two dominant business email platforms directly, with IMAP/SMTP as a universal fallback for everything else — so no business is left unsupported, and no ongoing vendor subscription is introduced into the platform's cost structure.</w:t>
      </w:r>
    </w:p>
    <w:p>
      <w:pPr>
        <w:pStyle w:val="Heading2"/>
        <w:spacing w:after="120" w:before="240"/>
      </w:pPr>
      <w:r>
        <w:t xml:space="preserve">Why This Approach, and What It Means for Cost</w:t>
      </w:r>
    </w:p>
    <w:p>
      <w:pPr>
        <w:spacing w:after="120"/>
      </w:pPr>
      <w:r>
        <w:rPr>
          <w:color w:val="1F2937"/>
          <w:sz w:val="22"/>
          <w:szCs w:val="22"/>
        </w:rPr>
        <w:t xml:space="preserve">A paid unified email API (Nylas being the market example) is billed per connected mailbox, per month, for as long as the feature is used — and that bill grows every time a new business or staff mailbox connects. Building the integration in-house is a one-time development cost with no bill afterward. The table below makes that difference concrete: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c>
          <w:tcPr>
            <w:tcW w:type="dxa" w:w="3200"/>
            <w:shd w:fill="2E4C9E" w:val="clear"/>
            <w:tcMar>
              <w:top w:type="dxa" w:w="80"/>
              <w:left w:type="dxa" w:w="100"/>
              <w:bottom w:type="dxa" w:w="80"/>
              <w:right w:type="dxa" w:w="100"/>
            </w:tcMar>
          </w:tcPr>
          <w:p>
            <w:r>
              <w:rPr>
                <w:b/>
                <w:bCs/>
                <w:color w:val="FFFFFF"/>
                <w:sz w:val="20"/>
                <w:szCs w:val="20"/>
              </w:rPr>
              <w:t xml:space="preserve">Connected Mailboxes</w:t>
            </w:r>
          </w:p>
        </w:tc>
        <w:tc>
          <w:tcPr>
            <w:tcW w:type="dxa" w:w="3400"/>
            <w:shd w:fill="2E4C9E" w:val="clear"/>
            <w:tcMar>
              <w:top w:type="dxa" w:w="80"/>
              <w:left w:type="dxa" w:w="100"/>
              <w:bottom w:type="dxa" w:w="80"/>
              <w:right w:type="dxa" w:w="100"/>
            </w:tcMar>
          </w:tcPr>
          <w:p>
            <w:r>
              <w:rPr>
                <w:b/>
                <w:bCs/>
                <w:color w:val="FFFFFF"/>
                <w:sz w:val="20"/>
                <w:szCs w:val="20"/>
              </w:rPr>
              <w:t xml:space="preserve">Nylas Cost (Monthly, ≈$3.30/mailbox)</w:t>
            </w:r>
          </w:p>
        </w:tc>
        <w:tc>
          <w:tcPr>
            <w:tcW w:type="dxa" w:w="3400"/>
            <w:shd w:fill="2E4C9E" w:val="clear"/>
            <w:tcMar>
              <w:top w:type="dxa" w:w="80"/>
              <w:left w:type="dxa" w:w="100"/>
              <w:bottom w:type="dxa" w:w="80"/>
              <w:right w:type="dxa" w:w="100"/>
            </w:tcMar>
          </w:tcPr>
          <w:p>
            <w:r>
              <w:rPr>
                <w:b/>
                <w:bCs/>
                <w:color w:val="FFFFFF"/>
                <w:sz w:val="20"/>
                <w:szCs w:val="20"/>
              </w:rPr>
              <w:t xml:space="preserve">Nylas Cost After 12 Months</w:t>
            </w:r>
          </w:p>
        </w:tc>
      </w:tr>
      <w:tr>
        <w:tc>
          <w:tcPr>
            <w:tcW w:type="dxa" w:w="3200"/>
            <w:shd w:fill="FFFFFF" w:val="clear"/>
            <w:tcMar>
              <w:top w:type="dxa" w:w="80"/>
              <w:left w:type="dxa" w:w="100"/>
              <w:bottom w:type="dxa" w:w="80"/>
              <w:right w:type="dxa" w:w="100"/>
            </w:tcMar>
          </w:tcPr>
          <w:p>
            <w:r>
              <w:rPr>
                <w:b w:val="false"/>
                <w:bCs w:val="false"/>
                <w:color w:val="1F2937"/>
                <w:sz w:val="20"/>
                <w:szCs w:val="20"/>
              </w:rPr>
              <w:t xml:space="preserve">5 (early pilot)</w:t>
            </w:r>
          </w:p>
        </w:tc>
        <w:tc>
          <w:tcPr>
            <w:tcW w:type="dxa" w:w="3400"/>
            <w:shd w:fill="FFFFFF" w:val="clear"/>
            <w:tcMar>
              <w:top w:type="dxa" w:w="80"/>
              <w:left w:type="dxa" w:w="100"/>
              <w:bottom w:type="dxa" w:w="80"/>
              <w:right w:type="dxa" w:w="100"/>
            </w:tcMar>
          </w:tcPr>
          <w:p>
            <w:r>
              <w:rPr>
                <w:b w:val="false"/>
                <w:bCs w:val="false"/>
                <w:color w:val="1F2937"/>
                <w:sz w:val="20"/>
                <w:szCs w:val="20"/>
              </w:rPr>
              <w:t xml:space="preserve">≈ $16.50 / month</w:t>
            </w:r>
          </w:p>
        </w:tc>
        <w:tc>
          <w:tcPr>
            <w:tcW w:type="dxa" w:w="3400"/>
            <w:shd w:fill="FFFFFF" w:val="clear"/>
            <w:tcMar>
              <w:top w:type="dxa" w:w="80"/>
              <w:left w:type="dxa" w:w="100"/>
              <w:bottom w:type="dxa" w:w="80"/>
              <w:right w:type="dxa" w:w="100"/>
            </w:tcMar>
          </w:tcPr>
          <w:p>
            <w:r>
              <w:rPr>
                <w:b w:val="false"/>
                <w:bCs w:val="false"/>
                <w:color w:val="1F2937"/>
                <w:sz w:val="20"/>
                <w:szCs w:val="20"/>
              </w:rPr>
              <w:t xml:space="preserve">≈ $198 / year</w:t>
            </w:r>
          </w:p>
        </w:tc>
      </w:tr>
      <w:tr>
        <w:tc>
          <w:tcPr>
            <w:tcW w:type="dxa" w:w="3200"/>
            <w:shd w:fill="EEF2FB" w:val="clear"/>
            <w:tcMar>
              <w:top w:type="dxa" w:w="80"/>
              <w:left w:type="dxa" w:w="100"/>
              <w:bottom w:type="dxa" w:w="80"/>
              <w:right w:type="dxa" w:w="100"/>
            </w:tcMar>
          </w:tcPr>
          <w:p>
            <w:r>
              <w:rPr>
                <w:b w:val="false"/>
                <w:bCs w:val="false"/>
                <w:color w:val="1F2937"/>
                <w:sz w:val="20"/>
                <w:szCs w:val="20"/>
              </w:rPr>
              <w:t xml:space="preserve">20 (a handful of tenants)</w:t>
            </w:r>
          </w:p>
        </w:tc>
        <w:tc>
          <w:tcPr>
            <w:tcW w:type="dxa" w:w="3400"/>
            <w:shd w:fill="EEF2FB" w:val="clear"/>
            <w:tcMar>
              <w:top w:type="dxa" w:w="80"/>
              <w:left w:type="dxa" w:w="100"/>
              <w:bottom w:type="dxa" w:w="80"/>
              <w:right w:type="dxa" w:w="100"/>
            </w:tcMar>
          </w:tcPr>
          <w:p>
            <w:r>
              <w:rPr>
                <w:b w:val="false"/>
                <w:bCs w:val="false"/>
                <w:color w:val="1F2937"/>
                <w:sz w:val="20"/>
                <w:szCs w:val="20"/>
              </w:rPr>
              <w:t xml:space="preserve">≈ $66 / month</w:t>
            </w:r>
          </w:p>
        </w:tc>
        <w:tc>
          <w:tcPr>
            <w:tcW w:type="dxa" w:w="3400"/>
            <w:shd w:fill="EEF2FB" w:val="clear"/>
            <w:tcMar>
              <w:top w:type="dxa" w:w="80"/>
              <w:left w:type="dxa" w:w="100"/>
              <w:bottom w:type="dxa" w:w="80"/>
              <w:right w:type="dxa" w:w="100"/>
            </w:tcMar>
          </w:tcPr>
          <w:p>
            <w:r>
              <w:rPr>
                <w:b w:val="false"/>
                <w:bCs w:val="false"/>
                <w:color w:val="1F2937"/>
                <w:sz w:val="20"/>
                <w:szCs w:val="20"/>
              </w:rPr>
              <w:t xml:space="preserve">≈ $792 / year</w:t>
            </w:r>
          </w:p>
        </w:tc>
      </w:tr>
      <w:tr>
        <w:tc>
          <w:tcPr>
            <w:tcW w:type="dxa" w:w="3200"/>
            <w:shd w:fill="FFFFFF" w:val="clear"/>
            <w:tcMar>
              <w:top w:type="dxa" w:w="80"/>
              <w:left w:type="dxa" w:w="100"/>
              <w:bottom w:type="dxa" w:w="80"/>
              <w:right w:type="dxa" w:w="100"/>
            </w:tcMar>
          </w:tcPr>
          <w:p>
            <w:r>
              <w:rPr>
                <w:b w:val="false"/>
                <w:bCs w:val="false"/>
                <w:color w:val="1F2937"/>
                <w:sz w:val="20"/>
                <w:szCs w:val="20"/>
              </w:rPr>
              <w:t xml:space="preserve">50 (growing tenant base)</w:t>
            </w:r>
          </w:p>
        </w:tc>
        <w:tc>
          <w:tcPr>
            <w:tcW w:type="dxa" w:w="3400"/>
            <w:shd w:fill="FFFFFF" w:val="clear"/>
            <w:tcMar>
              <w:top w:type="dxa" w:w="80"/>
              <w:left w:type="dxa" w:w="100"/>
              <w:bottom w:type="dxa" w:w="80"/>
              <w:right w:type="dxa" w:w="100"/>
            </w:tcMar>
          </w:tcPr>
          <w:p>
            <w:r>
              <w:rPr>
                <w:b w:val="false"/>
                <w:bCs w:val="false"/>
                <w:color w:val="1F2937"/>
                <w:sz w:val="20"/>
                <w:szCs w:val="20"/>
              </w:rPr>
              <w:t xml:space="preserve">≈ $165 / month</w:t>
            </w:r>
          </w:p>
        </w:tc>
        <w:tc>
          <w:tcPr>
            <w:tcW w:type="dxa" w:w="3400"/>
            <w:shd w:fill="FFFFFF" w:val="clear"/>
            <w:tcMar>
              <w:top w:type="dxa" w:w="80"/>
              <w:left w:type="dxa" w:w="100"/>
              <w:bottom w:type="dxa" w:w="80"/>
              <w:right w:type="dxa" w:w="100"/>
            </w:tcMar>
          </w:tcPr>
          <w:p>
            <w:r>
              <w:rPr>
                <w:b w:val="false"/>
                <w:bCs w:val="false"/>
                <w:color w:val="1F2937"/>
                <w:sz w:val="20"/>
                <w:szCs w:val="20"/>
              </w:rPr>
              <w:t xml:space="preserve">≈ $1,980 / year</w:t>
            </w:r>
          </w:p>
        </w:tc>
      </w:tr>
    </w:tbl>
    <w:p>
      <w:pPr>
        <w:pBdr>
          <w:left w:val="single" w:color="2E4C9E" w:sz="12" w:space="8"/>
        </w:pBdr>
        <w:spacing w:after="160"/>
      </w:pPr>
      <w:r>
        <w:rPr>
          <w:i/>
          <w:iCs/>
          <w:color w:val="6B7280"/>
          <w:sz w:val="20"/>
          <w:szCs w:val="20"/>
        </w:rPr>
        <w:t xml:space="preserve">Even at just 5 connected mailboxes, Nylas's fee alone would pass the one-time $100 self-build cost in about 6 months — and keep billing every month after that, forever, scaling up with every business that joins the platform. The self-built approach has no equivalent line: once it's built, connecting the 1st mailbox or the 500th costs the same $0 in vendor fees.</w:t>
      </w:r>
    </w:p>
    <w:p>
      <w:pPr>
        <w:pStyle w:val="ListParagraph"/>
        <w:numPr>
          <w:ilvl w:val="0"/>
          <w:numId w:val="1"/>
        </w:numPr>
        <w:spacing w:after="60"/>
      </w:pPr>
      <w:r>
        <w:rPr>
          <w:color w:val="1F2937"/>
          <w:sz w:val="22"/>
          <w:szCs w:val="22"/>
        </w:rPr>
        <w:t xml:space="preserve">One-time development investment instead of a recurring bill: building and maintaining three provider-specific integrations (Gmail, Outlook, IMAP/SMTP) is more development work upfront than plugging into a single vendor API, which is what the one-time cost below reflects — but it is paid once, not every month.</w:t>
      </w:r>
    </w:p>
    <w:p>
      <w:pPr>
        <w:pStyle w:val="ListParagraph"/>
        <w:numPr>
          <w:ilvl w:val="0"/>
          <w:numId w:val="1"/>
        </w:numPr>
        <w:spacing w:after="60"/>
      </w:pPr>
      <w:r>
        <w:rPr>
          <w:color w:val="1F2937"/>
          <w:sz w:val="22"/>
          <w:szCs w:val="22"/>
        </w:rPr>
        <w:t xml:space="preserve">Full data control: emails never pass through a third-party vendor's servers, which is a stronger privacy position for GDPR-conscious European clients.</w:t>
      </w:r>
    </w:p>
    <w:p>
      <w:pPr>
        <w:pStyle w:val="ListParagraph"/>
        <w:numPr>
          <w:ilvl w:val="0"/>
          <w:numId w:val="1"/>
        </w:numPr>
        <w:spacing w:after="60"/>
      </w:pPr>
      <w:r>
        <w:rPr>
          <w:color w:val="1F2937"/>
          <w:sz w:val="22"/>
          <w:szCs w:val="22"/>
        </w:rPr>
        <w:t xml:space="preserve">Google's app review: once live for real customers (beyond initial testing), Google requires a one-time app verification review before removing the "unverified app" warning for new users. This is a free process (no lab fee, since we are avoiding the higher-tier scopes that require a paid security audit) but does involve a review queue of several days to a few weeks.</w:t>
      </w:r>
    </w:p>
    <w:p>
      <w:pPr>
        <w:pStyle w:val="Heading2"/>
        <w:spacing w:after="120" w:before="240"/>
      </w:pPr>
      <w:r>
        <w:t xml:space="preserve">What This Milestone Delivers</w:t>
      </w:r>
    </w:p>
    <w:p>
      <w:pPr>
        <w:pStyle w:val="ListParagraph"/>
        <w:numPr>
          <w:ilvl w:val="0"/>
          <w:numId w:val="1"/>
        </w:numPr>
        <w:spacing w:after="60"/>
      </w:pPr>
      <w:r>
        <w:rPr>
          <w:color w:val="1F2937"/>
          <w:sz w:val="22"/>
          <w:szCs w:val="22"/>
        </w:rPr>
        <w:t xml:space="preserve">Settings screen for a business to connect its own mailbox — Gmail, Outlook/365, or any other provider via IMAP/SMTP — or opt into DB-stored mode (Option 2 from the original client discussion).</w:t>
      </w:r>
    </w:p>
    <w:p>
      <w:pPr>
        <w:pStyle w:val="ListParagraph"/>
        <w:numPr>
          <w:ilvl w:val="0"/>
          <w:numId w:val="1"/>
        </w:numPr>
        <w:spacing w:after="60"/>
      </w:pPr>
      <w:r>
        <w:rPr>
          <w:color w:val="1F2937"/>
          <w:sz w:val="22"/>
          <w:szCs w:val="22"/>
        </w:rPr>
        <w:t xml:space="preserve">Incoming/outgoing emails attached to the correct client's Communication History timeline, alongside notes, calls, and appointments (per the existing Client History feature).</w:t>
      </w:r>
    </w:p>
    <w:p>
      <w:pPr>
        <w:pStyle w:val="ListParagraph"/>
        <w:numPr>
          <w:ilvl w:val="0"/>
          <w:numId w:val="1"/>
        </w:numPr>
        <w:spacing w:after="60"/>
      </w:pPr>
      <w:r>
        <w:rPr>
          <w:color w:val="1F2937"/>
          <w:sz w:val="22"/>
          <w:szCs w:val="22"/>
        </w:rPr>
        <w:t xml:space="preserve">Search across email history from the client profile.</w:t>
      </w:r>
    </w:p>
    <w:p>
      <w:pPr>
        <w:pStyle w:val="ListParagraph"/>
        <w:numPr>
          <w:ilvl w:val="0"/>
          <w:numId w:val="1"/>
        </w:numPr>
        <w:spacing w:after="60"/>
      </w:pPr>
      <w:r>
        <w:rPr>
          <w:color w:val="1F2937"/>
          <w:sz w:val="22"/>
          <w:szCs w:val="22"/>
        </w:rPr>
        <w:t xml:space="preserve">Compose/reply directly from the CRM, sent through the connected mailbox.</w:t>
      </w:r>
    </w:p>
    <w:p>
      <w:pPr>
        <w:spacing w:after="200" w:before="120"/>
      </w:pPr>
      <w:r>
        <w:rPr>
          <w:b/>
          <w:bCs/>
          <w:color w:val="1F2937"/>
          <w:sz w:val="23"/>
          <w:szCs w:val="23"/>
        </w:rPr>
        <w:t xml:space="preserve">Development Cost for this Milestone: </w:t>
      </w:r>
      <w:r>
        <w:rPr>
          <w:b/>
          <w:bCs/>
          <w:color w:val="1E7A46"/>
          <w:sz w:val="26"/>
          <w:szCs w:val="26"/>
        </w:rPr>
        <w:t xml:space="preserve">$100 (one-time — no recurring vendor fee, ever)</w:t>
      </w:r>
    </w:p>
    <w:p>
      <w:pPr>
        <w:pStyle w:val="Heading1"/>
        <w:spacing w:after="160" w:before="300"/>
      </w:pPr>
      <w:r>
        <w:t xml:space="preserve">Milestone 2 — SMS &amp; Telephone</w:t>
      </w:r>
    </w:p>
    <w:p>
      <w:pPr>
        <w:spacing w:after="120"/>
      </w:pPr>
      <w:r>
        <w:rPr>
          <w:color w:val="1F2937"/>
          <w:sz w:val="22"/>
          <w:szCs w:val="22"/>
        </w:rPr>
        <w:t xml:space="preserve">Goal: give each business the ability to send SMS messages to clients and maintain a call/SMS history, using an SMS sending platform rather than requiring direct telecom carrier verification.</w:t>
      </w:r>
    </w:p>
    <w:p>
      <w:pPr>
        <w:pStyle w:val="Heading2"/>
        <w:spacing w:after="120" w:before="240"/>
      </w:pPr>
      <w:r>
        <w:t xml:space="preserve">Recommended Provider: Telnyx</w:t>
      </w:r>
    </w:p>
    <w:p>
      <w:pPr>
        <w:spacing w:after="120"/>
      </w:pPr>
      <w:r>
        <w:rPr>
          <w:color w:val="1F2937"/>
          <w:sz w:val="22"/>
          <w:szCs w:val="22"/>
        </w:rPr>
        <w:t xml:space="preserve">Telnyx is recommended specifically because Neva CRM's business base is Europe-focused: Telnyx operates its own global IP network (covering 50+ countries) with strong European coverage, offers pure pay-as-you-go pricing with no mandatory monthly plan, and is typically 30–70% cheaper than comparable providers such as Twilio at scale. Telnyx also now supports WhatsApp Business natively (see Milestone 3), so the same account and number used here also carries WhatsApp — one vendor instead of two.</w:t>
      </w:r>
    </w:p>
    <w:p>
      <w:pPr>
        <w:pStyle w:val="Heading2"/>
        <w:spacing w:after="120" w:before="240"/>
      </w:pPr>
      <w:r>
        <w:t xml:space="preserve">Indicative Pricing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00"/>
      </w:tblGrid>
      <w:tr>
        <w:tc>
          <w:tcPr>
            <w:tcW w:type="dxa" w:w="3000"/>
            <w:shd w:fill="2E4C9E" w:val="clear"/>
            <w:tcMar>
              <w:top w:type="dxa" w:w="80"/>
              <w:left w:type="dxa" w:w="100"/>
              <w:bottom w:type="dxa" w:w="80"/>
              <w:right w:type="dxa" w:w="100"/>
            </w:tcMar>
          </w:tcPr>
          <w:p>
            <w:r>
              <w:rPr>
                <w:b/>
                <w:bCs/>
                <w:color w:val="FFFFFF"/>
                <w:sz w:val="20"/>
                <w:szCs w:val="20"/>
              </w:rPr>
              <w:t xml:space="preserve">Item</w:t>
            </w:r>
          </w:p>
        </w:tc>
        <w:tc>
          <w:tcPr>
            <w:tcW w:type="dxa" w:w="2500"/>
            <w:shd w:fill="2E4C9E" w:val="clear"/>
            <w:tcMar>
              <w:top w:type="dxa" w:w="80"/>
              <w:left w:type="dxa" w:w="100"/>
              <w:bottom w:type="dxa" w:w="80"/>
              <w:right w:type="dxa" w:w="100"/>
            </w:tcMar>
          </w:tcPr>
          <w:p>
            <w:r>
              <w:rPr>
                <w:b/>
                <w:bCs/>
                <w:color w:val="FFFFFF"/>
                <w:sz w:val="20"/>
                <w:szCs w:val="20"/>
              </w:rPr>
              <w:t xml:space="preserve">Price</w:t>
            </w:r>
          </w:p>
        </w:tc>
        <w:tc>
          <w:tcPr>
            <w:tcW w:type="dxa" w:w="4500"/>
            <w:shd w:fill="2E4C9E" w:val="clear"/>
            <w:tcMar>
              <w:top w:type="dxa" w:w="80"/>
              <w:left w:type="dxa" w:w="100"/>
              <w:bottom w:type="dxa" w:w="80"/>
              <w:right w:type="dxa" w:w="100"/>
            </w:tcMar>
          </w:tcPr>
          <w:p>
            <w:r>
              <w:rPr>
                <w:b/>
                <w:bCs/>
                <w:color w:val="FFFFFF"/>
                <w:sz w:val="20"/>
                <w:szCs w:val="20"/>
              </w:rPr>
              <w:t xml:space="preserve">Notes</w:t>
            </w:r>
          </w:p>
        </w:tc>
      </w:tr>
      <w:tr>
        <w:tc>
          <w:tcPr>
            <w:tcW w:type="dxa" w:w="3000"/>
            <w:shd w:fill="FFFFFF" w:val="clear"/>
            <w:tcMar>
              <w:top w:type="dxa" w:w="80"/>
              <w:left w:type="dxa" w:w="100"/>
              <w:bottom w:type="dxa" w:w="80"/>
              <w:right w:type="dxa" w:w="100"/>
            </w:tcMar>
          </w:tcPr>
          <w:p>
            <w:r>
              <w:rPr>
                <w:b w:val="false"/>
                <w:bCs w:val="false"/>
                <w:color w:val="1F2937"/>
                <w:sz w:val="20"/>
                <w:szCs w:val="20"/>
              </w:rPr>
              <w:t xml:space="preserve">Outbound SMS</w:t>
            </w:r>
          </w:p>
        </w:tc>
        <w:tc>
          <w:tcPr>
            <w:tcW w:type="dxa" w:w="2500"/>
            <w:shd w:fill="FFFFFF" w:val="clear"/>
            <w:tcMar>
              <w:top w:type="dxa" w:w="80"/>
              <w:left w:type="dxa" w:w="100"/>
              <w:bottom w:type="dxa" w:w="80"/>
              <w:right w:type="dxa" w:w="100"/>
            </w:tcMar>
          </w:tcPr>
          <w:p>
            <w:r>
              <w:rPr>
                <w:b w:val="false"/>
                <w:bCs w:val="false"/>
                <w:color w:val="1F2937"/>
                <w:sz w:val="20"/>
                <w:szCs w:val="20"/>
              </w:rPr>
              <w:t xml:space="preserve">from $0.004 / message</w:t>
            </w:r>
          </w:p>
        </w:tc>
        <w:tc>
          <w:tcPr>
            <w:tcW w:type="dxa" w:w="4500"/>
            <w:shd w:fill="FFFFFF" w:val="clear"/>
            <w:tcMar>
              <w:top w:type="dxa" w:w="80"/>
              <w:left w:type="dxa" w:w="100"/>
              <w:bottom w:type="dxa" w:w="80"/>
              <w:right w:type="dxa" w:w="100"/>
            </w:tcMar>
          </w:tcPr>
          <w:p>
            <w:r>
              <w:rPr>
                <w:b w:val="false"/>
                <w:bCs w:val="false"/>
                <w:color w:val="1F2937"/>
                <w:sz w:val="20"/>
                <w:szCs w:val="20"/>
              </w:rPr>
              <w:t xml:space="preserve">Varies by destination country and carrier; EU rates may differ per country</w:t>
            </w:r>
          </w:p>
        </w:tc>
      </w:tr>
      <w:tr>
        <w:tc>
          <w:tcPr>
            <w:tcW w:type="dxa" w:w="3000"/>
            <w:shd w:fill="EEF2FB" w:val="clear"/>
            <w:tcMar>
              <w:top w:type="dxa" w:w="80"/>
              <w:left w:type="dxa" w:w="100"/>
              <w:bottom w:type="dxa" w:w="80"/>
              <w:right w:type="dxa" w:w="100"/>
            </w:tcMar>
          </w:tcPr>
          <w:p>
            <w:r>
              <w:rPr>
                <w:b w:val="false"/>
                <w:bCs w:val="false"/>
                <w:color w:val="1F2937"/>
                <w:sz w:val="20"/>
                <w:szCs w:val="20"/>
              </w:rPr>
              <w:t xml:space="preserve">Outbound voice</w:t>
            </w:r>
          </w:p>
        </w:tc>
        <w:tc>
          <w:tcPr>
            <w:tcW w:type="dxa" w:w="2500"/>
            <w:shd w:fill="EEF2FB" w:val="clear"/>
            <w:tcMar>
              <w:top w:type="dxa" w:w="80"/>
              <w:left w:type="dxa" w:w="100"/>
              <w:bottom w:type="dxa" w:w="80"/>
              <w:right w:type="dxa" w:w="100"/>
            </w:tcMar>
          </w:tcPr>
          <w:p>
            <w:r>
              <w:rPr>
                <w:b w:val="false"/>
                <w:bCs w:val="false"/>
                <w:color w:val="1F2937"/>
                <w:sz w:val="20"/>
                <w:szCs w:val="20"/>
              </w:rPr>
              <w:t xml:space="preserve">from $0.002–0.007 / min</w:t>
            </w:r>
          </w:p>
        </w:tc>
        <w:tc>
          <w:tcPr>
            <w:tcW w:type="dxa" w:w="4500"/>
            <w:shd w:fill="EEF2FB" w:val="clear"/>
            <w:tcMar>
              <w:top w:type="dxa" w:w="80"/>
              <w:left w:type="dxa" w:w="100"/>
              <w:bottom w:type="dxa" w:w="80"/>
              <w:right w:type="dxa" w:w="100"/>
            </w:tcMar>
          </w:tcPr>
          <w:p>
            <w:r>
              <w:rPr>
                <w:b w:val="false"/>
                <w:bCs w:val="false"/>
                <w:color w:val="1F2937"/>
                <w:sz w:val="20"/>
                <w:szCs w:val="20"/>
              </w:rPr>
              <w:t xml:space="preserve">Depends on destination</w:t>
            </w:r>
          </w:p>
        </w:tc>
      </w:tr>
      <w:tr>
        <w:tc>
          <w:tcPr>
            <w:tcW w:type="dxa" w:w="3000"/>
            <w:shd w:fill="FFFFFF" w:val="clear"/>
            <w:tcMar>
              <w:top w:type="dxa" w:w="80"/>
              <w:left w:type="dxa" w:w="100"/>
              <w:bottom w:type="dxa" w:w="80"/>
              <w:right w:type="dxa" w:w="100"/>
            </w:tcMar>
          </w:tcPr>
          <w:p>
            <w:r>
              <w:rPr>
                <w:b w:val="false"/>
                <w:bCs w:val="false"/>
                <w:color w:val="1F2937"/>
                <w:sz w:val="20"/>
                <w:szCs w:val="20"/>
              </w:rPr>
              <w:t xml:space="preserve">Inbound voice</w:t>
            </w:r>
          </w:p>
        </w:tc>
        <w:tc>
          <w:tcPr>
            <w:tcW w:type="dxa" w:w="2500"/>
            <w:shd w:fill="FFFFFF" w:val="clear"/>
            <w:tcMar>
              <w:top w:type="dxa" w:w="80"/>
              <w:left w:type="dxa" w:w="100"/>
              <w:bottom w:type="dxa" w:w="80"/>
              <w:right w:type="dxa" w:w="100"/>
            </w:tcMar>
          </w:tcPr>
          <w:p>
            <w:r>
              <w:rPr>
                <w:b w:val="false"/>
                <w:bCs w:val="false"/>
                <w:color w:val="1F2937"/>
                <w:sz w:val="20"/>
                <w:szCs w:val="20"/>
              </w:rPr>
              <w:t xml:space="preserve">from $0.002 / min</w:t>
            </w:r>
          </w:p>
        </w:tc>
        <w:tc>
          <w:tcPr>
            <w:tcW w:type="dxa" w:w="4500"/>
            <w:shd w:fill="FFFFFF" w:val="clear"/>
            <w:tcMar>
              <w:top w:type="dxa" w:w="80"/>
              <w:left w:type="dxa" w:w="100"/>
              <w:bottom w:type="dxa" w:w="80"/>
              <w:right w:type="dxa" w:w="100"/>
            </w:tcMar>
          </w:tcPr>
          <w:p>
            <w:r>
              <w:rPr>
                <w:b w:val="false"/>
                <w:bCs w:val="false"/>
                <w:color w:val="1F2937"/>
                <w:sz w:val="20"/>
                <w:szCs w:val="20"/>
              </w:rPr>
              <w:t xml:space="preserve"/>
            </w:r>
          </w:p>
        </w:tc>
      </w:tr>
      <w:tr>
        <w:tc>
          <w:tcPr>
            <w:tcW w:type="dxa" w:w="3000"/>
            <w:shd w:fill="EEF2FB" w:val="clear"/>
            <w:tcMar>
              <w:top w:type="dxa" w:w="80"/>
              <w:left w:type="dxa" w:w="100"/>
              <w:bottom w:type="dxa" w:w="80"/>
              <w:right w:type="dxa" w:w="100"/>
            </w:tcMar>
          </w:tcPr>
          <w:p>
            <w:r>
              <w:rPr>
                <w:b w:val="false"/>
                <w:bCs w:val="false"/>
                <w:color w:val="1F2937"/>
                <w:sz w:val="20"/>
                <w:szCs w:val="20"/>
              </w:rPr>
              <w:t xml:space="preserve">Local phone number</w:t>
            </w:r>
          </w:p>
        </w:tc>
        <w:tc>
          <w:tcPr>
            <w:tcW w:type="dxa" w:w="2500"/>
            <w:shd w:fill="EEF2FB" w:val="clear"/>
            <w:tcMar>
              <w:top w:type="dxa" w:w="80"/>
              <w:left w:type="dxa" w:w="100"/>
              <w:bottom w:type="dxa" w:w="80"/>
              <w:right w:type="dxa" w:w="100"/>
            </w:tcMar>
          </w:tcPr>
          <w:p>
            <w:r>
              <w:rPr>
                <w:b w:val="false"/>
                <w:bCs w:val="false"/>
                <w:color w:val="1F2937"/>
                <w:sz w:val="20"/>
                <w:szCs w:val="20"/>
              </w:rPr>
              <w:t xml:space="preserve">from $1.00 / month</w:t>
            </w:r>
          </w:p>
        </w:tc>
        <w:tc>
          <w:tcPr>
            <w:tcW w:type="dxa" w:w="4500"/>
            <w:shd w:fill="EEF2FB" w:val="clear"/>
            <w:tcMar>
              <w:top w:type="dxa" w:w="80"/>
              <w:left w:type="dxa" w:w="100"/>
              <w:bottom w:type="dxa" w:w="80"/>
              <w:right w:type="dxa" w:w="100"/>
            </w:tcMar>
          </w:tcPr>
          <w:p>
            <w:r>
              <w:rPr>
                <w:b w:val="false"/>
                <w:bCs w:val="false"/>
                <w:color w:val="1F2937"/>
                <w:sz w:val="20"/>
                <w:szCs w:val="20"/>
              </w:rPr>
              <w:t xml:space="preserve">Per number, per business</w:t>
            </w:r>
          </w:p>
        </w:tc>
      </w:tr>
      <w:tr>
        <w:tc>
          <w:tcPr>
            <w:tcW w:type="dxa" w:w="3000"/>
            <w:shd w:fill="FFFFFF" w:val="clear"/>
            <w:tcMar>
              <w:top w:type="dxa" w:w="80"/>
              <w:left w:type="dxa" w:w="100"/>
              <w:bottom w:type="dxa" w:w="80"/>
              <w:right w:type="dxa" w:w="100"/>
            </w:tcMar>
          </w:tcPr>
          <w:p>
            <w:r>
              <w:rPr>
                <w:b w:val="false"/>
                <w:bCs w:val="false"/>
                <w:color w:val="1F2937"/>
                <w:sz w:val="20"/>
                <w:szCs w:val="20"/>
              </w:rPr>
              <w:t xml:space="preserve">SMS/MMS capability add-on</w:t>
            </w:r>
          </w:p>
        </w:tc>
        <w:tc>
          <w:tcPr>
            <w:tcW w:type="dxa" w:w="2500"/>
            <w:shd w:fill="FFFFFF" w:val="clear"/>
            <w:tcMar>
              <w:top w:type="dxa" w:w="80"/>
              <w:left w:type="dxa" w:w="100"/>
              <w:bottom w:type="dxa" w:w="80"/>
              <w:right w:type="dxa" w:w="100"/>
            </w:tcMar>
          </w:tcPr>
          <w:p>
            <w:r>
              <w:rPr>
                <w:b w:val="false"/>
                <w:bCs w:val="false"/>
                <w:color w:val="1F2937"/>
                <w:sz w:val="20"/>
                <w:szCs w:val="20"/>
              </w:rPr>
              <w:t xml:space="preserve">+$0.10 / month per number</w:t>
            </w:r>
          </w:p>
        </w:tc>
        <w:tc>
          <w:tcPr>
            <w:tcW w:type="dxa" w:w="4500"/>
            <w:shd w:fill="FFFFFF" w:val="clear"/>
            <w:tcMar>
              <w:top w:type="dxa" w:w="80"/>
              <w:left w:type="dxa" w:w="100"/>
              <w:bottom w:type="dxa" w:w="80"/>
              <w:right w:type="dxa" w:w="100"/>
            </w:tcMar>
          </w:tcPr>
          <w:p>
            <w:r>
              <w:rPr>
                <w:b w:val="false"/>
                <w:bCs w:val="false"/>
                <w:color w:val="1F2937"/>
                <w:sz w:val="20"/>
                <w:szCs w:val="20"/>
              </w:rPr>
              <w:t xml:space="preserve">Required to enable texting on a number</w:t>
            </w:r>
          </w:p>
        </w:tc>
      </w:tr>
    </w:tbl>
    <w:p>
      <w:pPr>
        <w:pBdr>
          <w:left w:val="single" w:color="2E4C9E" w:sz="12" w:space="8"/>
        </w:pBdr>
        <w:spacing w:after="160"/>
      </w:pPr>
      <w:r>
        <w:rPr>
          <w:i/>
          <w:iCs/>
          <w:color w:val="6B7280"/>
          <w:sz w:val="20"/>
          <w:szCs w:val="20"/>
        </w:rPr>
        <w:t xml:space="preserve">No flat monthly platform fee is required for Telnyx itself — cost is purely usage-based. Volume discounts (30–70%) are available once usage justifies a committed contract, which is worth revisiting once several tenant businesses are active.</w:t>
      </w:r>
    </w:p>
    <w:p>
      <w:pPr>
        <w:pStyle w:val="Heading2"/>
        <w:spacing w:after="120" w:before="240"/>
      </w:pPr>
      <w:r>
        <w:t xml:space="preserve">Compliance Note</w:t>
      </w:r>
    </w:p>
    <w:p>
      <w:pPr>
        <w:spacing w:after="120"/>
      </w:pPr>
      <w:r>
        <w:rPr>
          <w:color w:val="1F2937"/>
          <w:sz w:val="22"/>
          <w:szCs w:val="22"/>
        </w:rPr>
        <w:t xml:space="preserve">Business SMS traffic requires carrier-level registration in most markets (comparable to A2P 10DLC registration in the US) — the exact requirement and lead time vary per European country. This should be budgeted for per business as they onboard, and reviewed before promising instant SMS activation to a new tenant.</w:t>
      </w:r>
    </w:p>
    <w:p>
      <w:pPr>
        <w:pStyle w:val="Heading2"/>
        <w:spacing w:after="120" w:before="240"/>
      </w:pPr>
      <w:r>
        <w:t xml:space="preserve">What This Milestone Delivers</w:t>
      </w:r>
    </w:p>
    <w:p>
      <w:pPr>
        <w:pStyle w:val="ListParagraph"/>
        <w:numPr>
          <w:ilvl w:val="0"/>
          <w:numId w:val="1"/>
        </w:numPr>
        <w:spacing w:after="60"/>
      </w:pPr>
      <w:r>
        <w:rPr>
          <w:color w:val="1F2937"/>
          <w:sz w:val="22"/>
          <w:szCs w:val="22"/>
        </w:rPr>
        <w:t xml:space="preserve">Ability to send/receive SMS per business, logged into the same unified Client History timeline as email and calls.</w:t>
      </w:r>
    </w:p>
    <w:p>
      <w:pPr>
        <w:pStyle w:val="ListParagraph"/>
        <w:numPr>
          <w:ilvl w:val="0"/>
          <w:numId w:val="1"/>
        </w:numPr>
        <w:spacing w:after="60"/>
      </w:pPr>
      <w:r>
        <w:rPr>
          <w:color w:val="1F2937"/>
          <w:sz w:val="22"/>
          <w:szCs w:val="22"/>
        </w:rPr>
        <w:t xml:space="preserve">Call logging (manual or via Telnyx Voice API) attached to the client record.</w:t>
      </w:r>
    </w:p>
    <w:p>
      <w:pPr>
        <w:pStyle w:val="ListParagraph"/>
        <w:numPr>
          <w:ilvl w:val="0"/>
          <w:numId w:val="1"/>
        </w:numPr>
        <w:spacing w:after="60"/>
      </w:pPr>
      <w:r>
        <w:rPr>
          <w:color w:val="1F2937"/>
          <w:sz w:val="22"/>
          <w:szCs w:val="22"/>
        </w:rPr>
        <w:t xml:space="preserve">Per-business number provisioning through Telnyx.</w:t>
      </w:r>
    </w:p>
    <w:p>
      <w:pPr>
        <w:spacing w:after="200" w:before="120"/>
      </w:pPr>
      <w:r>
        <w:rPr>
          <w:b/>
          <w:bCs/>
          <w:color w:val="1F2937"/>
          <w:sz w:val="23"/>
          <w:szCs w:val="23"/>
        </w:rPr>
        <w:t xml:space="preserve">Development Cost for this Milestone: </w:t>
      </w:r>
      <w:r>
        <w:rPr>
          <w:b/>
          <w:bCs/>
          <w:color w:val="1E7A46"/>
          <w:sz w:val="26"/>
          <w:szCs w:val="26"/>
        </w:rPr>
        <w:t xml:space="preserve">$55</w:t>
      </w:r>
    </w:p>
    <w:p>
      <w:pPr>
        <w:pStyle w:val="Heading1"/>
        <w:spacing w:after="160" w:before="300"/>
      </w:pPr>
      <w:r>
        <w:t xml:space="preserve">Milestone 3 — WhatsApp Business API</w:t>
      </w:r>
    </w:p>
    <w:p>
      <w:pPr>
        <w:spacing w:after="120"/>
      </w:pPr>
      <w:r>
        <w:rPr>
          <w:color w:val="1F2937"/>
          <w:sz w:val="22"/>
          <w:szCs w:val="22"/>
        </w:rPr>
        <w:t xml:space="preserve">Goal: allow each business to message clients over WhatsApp directly from the CRM, using the official WhatsApp Business Platform (Meta Cloud API) rather than the free consumer WhatsApp Business app.</w:t>
      </w:r>
    </w:p>
    <w:p>
      <w:pPr>
        <w:pStyle w:val="Heading2"/>
        <w:spacing w:after="120" w:before="240"/>
      </w:pPr>
      <w:r>
        <w:t xml:space="preserve">Recommended Provider: Telnyx (Same Account as SMS &amp; Telephone)</w:t>
      </w:r>
    </w:p>
    <w:p>
      <w:pPr>
        <w:spacing w:after="120"/>
      </w:pPr>
      <w:r>
        <w:rPr>
          <w:color w:val="1F2937"/>
          <w:sz w:val="22"/>
          <w:szCs w:val="22"/>
        </w:rPr>
        <w:t xml:space="preserve">Telnyx added native WhatsApp Business support directly into its own platform in 2026 — same portal, same API, same number already used for SMS and voice in Milestone 2. This means WhatsApp does not require a second vendor (such as 360dialog): one Telnyx account carries SMS, voice, and WhatsApp together, which means one bill, one dashboard, and no separate monthly platform fee on top of usage.</w:t>
      </w:r>
    </w:p>
    <w:p>
      <w:pPr>
        <w:spacing w:after="120"/>
      </w:pPr>
      <w:r>
        <w:rPr>
          <w:color w:val="1F2937"/>
          <w:sz w:val="22"/>
          <w:szCs w:val="22"/>
        </w:rPr>
        <w:t xml:space="preserve">Underneath, Telnyx still connects to Meta's official WhatsApp Cloud API — the message-level costs set by Meta (below) are identical no matter which provider is used. The saving comes specifically from not paying a second provider's platform fee on top.</w:t>
      </w:r>
    </w:p>
    <w:p>
      <w:pPr>
        <w:pStyle w:val="Heading2"/>
        <w:spacing w:after="120" w:before="240"/>
      </w:pPr>
      <w:r>
        <w:t xml:space="preserve">Indicative Pricing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200"/>
      </w:tblGrid>
      <w:tr>
        <w:tc>
          <w:tcPr>
            <w:tcW w:type="dxa" w:w="3400"/>
            <w:shd w:fill="2E4C9E" w:val="clear"/>
            <w:tcMar>
              <w:top w:type="dxa" w:w="80"/>
              <w:left w:type="dxa" w:w="100"/>
              <w:bottom w:type="dxa" w:w="80"/>
              <w:right w:type="dxa" w:w="100"/>
            </w:tcMar>
          </w:tcPr>
          <w:p>
            <w:r>
              <w:rPr>
                <w:b/>
                <w:bCs/>
                <w:color w:val="FFFFFF"/>
                <w:sz w:val="20"/>
                <w:szCs w:val="20"/>
              </w:rPr>
              <w:t xml:space="preserve">Item</w:t>
            </w:r>
          </w:p>
        </w:tc>
        <w:tc>
          <w:tcPr>
            <w:tcW w:type="dxa" w:w="3400"/>
            <w:shd w:fill="2E4C9E" w:val="clear"/>
            <w:tcMar>
              <w:top w:type="dxa" w:w="80"/>
              <w:left w:type="dxa" w:w="100"/>
              <w:bottom w:type="dxa" w:w="80"/>
              <w:right w:type="dxa" w:w="100"/>
            </w:tcMar>
          </w:tcPr>
          <w:p>
            <w:r>
              <w:rPr>
                <w:b/>
                <w:bCs/>
                <w:color w:val="FFFFFF"/>
                <w:sz w:val="20"/>
                <w:szCs w:val="20"/>
              </w:rPr>
              <w:t xml:space="preserve">Price</w:t>
            </w:r>
          </w:p>
        </w:tc>
        <w:tc>
          <w:tcPr>
            <w:tcW w:type="dxa" w:w="3200"/>
            <w:shd w:fill="2E4C9E" w:val="clear"/>
            <w:tcMar>
              <w:top w:type="dxa" w:w="80"/>
              <w:left w:type="dxa" w:w="100"/>
              <w:bottom w:type="dxa" w:w="80"/>
              <w:right w:type="dxa" w:w="100"/>
            </w:tcMar>
          </w:tcPr>
          <w:p>
            <w:r>
              <w:rPr>
                <w:b/>
                <w:bCs/>
                <w:color w:val="FFFFFF"/>
                <w:sz w:val="20"/>
                <w:szCs w:val="20"/>
              </w:rPr>
              <w:t xml:space="preserve">Notes</w:t>
            </w:r>
          </w:p>
        </w:tc>
      </w:tr>
      <w:tr>
        <w:tc>
          <w:tcPr>
            <w:tcW w:type="dxa" w:w="3400"/>
            <w:shd w:fill="FFFFFF" w:val="clear"/>
            <w:tcMar>
              <w:top w:type="dxa" w:w="80"/>
              <w:left w:type="dxa" w:w="100"/>
              <w:bottom w:type="dxa" w:w="80"/>
              <w:right w:type="dxa" w:w="100"/>
            </w:tcMar>
          </w:tcPr>
          <w:p>
            <w:r>
              <w:rPr>
                <w:b w:val="false"/>
                <w:bCs w:val="false"/>
                <w:color w:val="1F2937"/>
                <w:sz w:val="20"/>
                <w:szCs w:val="20"/>
              </w:rPr>
              <w:t xml:space="preserve">Telnyx WhatsApp messaging</w:t>
            </w:r>
          </w:p>
        </w:tc>
        <w:tc>
          <w:tcPr>
            <w:tcW w:type="dxa" w:w="3400"/>
            <w:shd w:fill="FFFFFF" w:val="clear"/>
            <w:tcMar>
              <w:top w:type="dxa" w:w="80"/>
              <w:left w:type="dxa" w:w="100"/>
              <w:bottom w:type="dxa" w:w="80"/>
              <w:right w:type="dxa" w:w="100"/>
            </w:tcMar>
          </w:tcPr>
          <w:p>
            <w:r>
              <w:rPr>
                <w:b w:val="false"/>
                <w:bCs w:val="false"/>
                <w:color w:val="1F2937"/>
                <w:sz w:val="20"/>
                <w:szCs w:val="20"/>
              </w:rPr>
              <w:t xml:space="preserve">from $0.004 / message</w:t>
            </w:r>
          </w:p>
        </w:tc>
        <w:tc>
          <w:tcPr>
            <w:tcW w:type="dxa" w:w="3200"/>
            <w:shd w:fill="FFFFFF" w:val="clear"/>
            <w:tcMar>
              <w:top w:type="dxa" w:w="80"/>
              <w:left w:type="dxa" w:w="100"/>
              <w:bottom w:type="dxa" w:w="80"/>
              <w:right w:type="dxa" w:w="100"/>
            </w:tcMar>
          </w:tcPr>
          <w:p>
            <w:r>
              <w:rPr>
                <w:b w:val="false"/>
                <w:bCs w:val="false"/>
                <w:color w:val="1F2937"/>
                <w:sz w:val="20"/>
                <w:szCs w:val="20"/>
              </w:rPr>
              <w:t xml:space="preserve">Same per-message starting rate as Telnyx SMS</w:t>
            </w:r>
          </w:p>
        </w:tc>
      </w:tr>
      <w:tr>
        <w:tc>
          <w:tcPr>
            <w:tcW w:type="dxa" w:w="3400"/>
            <w:shd w:fill="EEF2FB" w:val="clear"/>
            <w:tcMar>
              <w:top w:type="dxa" w:w="80"/>
              <w:left w:type="dxa" w:w="100"/>
              <w:bottom w:type="dxa" w:w="80"/>
              <w:right w:type="dxa" w:w="100"/>
            </w:tcMar>
          </w:tcPr>
          <w:p>
            <w:r>
              <w:rPr>
                <w:b w:val="false"/>
                <w:bCs w:val="false"/>
                <w:color w:val="1F2937"/>
                <w:sz w:val="20"/>
                <w:szCs w:val="20"/>
              </w:rPr>
              <w:t xml:space="preserve">Telnyx platform / monthly fee</w:t>
            </w:r>
          </w:p>
        </w:tc>
        <w:tc>
          <w:tcPr>
            <w:tcW w:type="dxa" w:w="3400"/>
            <w:shd w:fill="EEF2FB" w:val="clear"/>
            <w:tcMar>
              <w:top w:type="dxa" w:w="80"/>
              <w:left w:type="dxa" w:w="100"/>
              <w:bottom w:type="dxa" w:w="80"/>
              <w:right w:type="dxa" w:w="100"/>
            </w:tcMar>
          </w:tcPr>
          <w:p>
            <w:r>
              <w:rPr>
                <w:b w:val="false"/>
                <w:bCs w:val="false"/>
                <w:color w:val="1F2937"/>
                <w:sz w:val="20"/>
                <w:szCs w:val="20"/>
              </w:rPr>
              <w:t xml:space="preserve">$0 — none</w:t>
            </w:r>
          </w:p>
        </w:tc>
        <w:tc>
          <w:tcPr>
            <w:tcW w:type="dxa" w:w="3200"/>
            <w:shd w:fill="EEF2FB" w:val="clear"/>
            <w:tcMar>
              <w:top w:type="dxa" w:w="80"/>
              <w:left w:type="dxa" w:w="100"/>
              <w:bottom w:type="dxa" w:w="80"/>
              <w:right w:type="dxa" w:w="100"/>
            </w:tcMar>
          </w:tcPr>
          <w:p>
            <w:r>
              <w:rPr>
                <w:b w:val="false"/>
                <w:bCs w:val="false"/>
                <w:color w:val="1F2937"/>
                <w:sz w:val="20"/>
                <w:szCs w:val="20"/>
              </w:rPr>
              <w:t xml:space="preserve">No separate WhatsApp platform fee; pay-as-you-go only</w:t>
            </w:r>
          </w:p>
        </w:tc>
      </w:tr>
      <w:tr>
        <w:tc>
          <w:tcPr>
            <w:tcW w:type="dxa" w:w="3400"/>
            <w:shd w:fill="FFFFFF" w:val="clear"/>
            <w:tcMar>
              <w:top w:type="dxa" w:w="80"/>
              <w:left w:type="dxa" w:w="100"/>
              <w:bottom w:type="dxa" w:w="80"/>
              <w:right w:type="dxa" w:w="100"/>
            </w:tcMar>
          </w:tcPr>
          <w:p>
            <w:r>
              <w:rPr>
                <w:b w:val="false"/>
                <w:bCs w:val="false"/>
                <w:color w:val="1F2937"/>
                <w:sz w:val="20"/>
                <w:szCs w:val="20"/>
              </w:rPr>
              <w:t xml:space="preserve">Meta per-message fee (service replies)</w:t>
            </w:r>
          </w:p>
        </w:tc>
        <w:tc>
          <w:tcPr>
            <w:tcW w:type="dxa" w:w="3400"/>
            <w:shd w:fill="FFFFFF" w:val="clear"/>
            <w:tcMar>
              <w:top w:type="dxa" w:w="80"/>
              <w:left w:type="dxa" w:w="100"/>
              <w:bottom w:type="dxa" w:w="80"/>
              <w:right w:type="dxa" w:w="100"/>
            </w:tcMar>
          </w:tcPr>
          <w:p>
            <w:r>
              <w:rPr>
                <w:b w:val="false"/>
                <w:bCs w:val="false"/>
                <w:color w:val="1F2937"/>
                <w:sz w:val="20"/>
                <w:szCs w:val="20"/>
              </w:rPr>
              <w:t xml:space="preserve">Free, unlimited</w:t>
            </w:r>
          </w:p>
        </w:tc>
        <w:tc>
          <w:tcPr>
            <w:tcW w:type="dxa" w:w="3200"/>
            <w:shd w:fill="FFFFFF" w:val="clear"/>
            <w:tcMar>
              <w:top w:type="dxa" w:w="80"/>
              <w:left w:type="dxa" w:w="100"/>
              <w:bottom w:type="dxa" w:w="80"/>
              <w:right w:type="dxa" w:w="100"/>
            </w:tcMar>
          </w:tcPr>
          <w:p>
            <w:r>
              <w:rPr>
                <w:b w:val="false"/>
                <w:bCs w:val="false"/>
                <w:color w:val="1F2937"/>
                <w:sz w:val="20"/>
                <w:szCs w:val="20"/>
              </w:rPr>
              <w:t xml:space="preserve">Any reply within a 24-hour customer-service window is free since Nov 2024</w:t>
            </w:r>
          </w:p>
        </w:tc>
      </w:tr>
      <w:tr>
        <w:tc>
          <w:tcPr>
            <w:tcW w:type="dxa" w:w="3400"/>
            <w:shd w:fill="EEF2FB" w:val="clear"/>
            <w:tcMar>
              <w:top w:type="dxa" w:w="80"/>
              <w:left w:type="dxa" w:w="100"/>
              <w:bottom w:type="dxa" w:w="80"/>
              <w:right w:type="dxa" w:w="100"/>
            </w:tcMar>
          </w:tcPr>
          <w:p>
            <w:r>
              <w:rPr>
                <w:b w:val="false"/>
                <w:bCs w:val="false"/>
                <w:color w:val="1F2937"/>
                <w:sz w:val="20"/>
                <w:szCs w:val="20"/>
              </w:rPr>
              <w:t xml:space="preserve">Meta per-message fee (marketing template)</w:t>
            </w:r>
          </w:p>
        </w:tc>
        <w:tc>
          <w:tcPr>
            <w:tcW w:type="dxa" w:w="3400"/>
            <w:shd w:fill="EEF2FB" w:val="clear"/>
            <w:tcMar>
              <w:top w:type="dxa" w:w="80"/>
              <w:left w:type="dxa" w:w="100"/>
              <w:bottom w:type="dxa" w:w="80"/>
              <w:right w:type="dxa" w:w="100"/>
            </w:tcMar>
          </w:tcPr>
          <w:p>
            <w:r>
              <w:rPr>
                <w:b w:val="false"/>
                <w:bCs w:val="false"/>
                <w:color w:val="1F2937"/>
                <w:sz w:val="20"/>
                <w:szCs w:val="20"/>
              </w:rPr>
              <w:t xml:space="preserve">≈ $0.009 (India) to €0.11+ (Germany)</w:t>
            </w:r>
          </w:p>
        </w:tc>
        <w:tc>
          <w:tcPr>
            <w:tcW w:type="dxa" w:w="3200"/>
            <w:shd w:fill="EEF2FB" w:val="clear"/>
            <w:tcMar>
              <w:top w:type="dxa" w:w="80"/>
              <w:left w:type="dxa" w:w="100"/>
              <w:bottom w:type="dxa" w:w="80"/>
              <w:right w:type="dxa" w:w="100"/>
            </w:tcMar>
          </w:tcPr>
          <w:p>
            <w:r>
              <w:rPr>
                <w:b w:val="false"/>
                <w:bCs w:val="false"/>
                <w:color w:val="1F2937"/>
                <w:sz w:val="20"/>
                <w:szCs w:val="20"/>
              </w:rPr>
              <w:t xml:space="preserve">Varies heavily by recipient country; EU markets are on the higher end</w:t>
            </w:r>
          </w:p>
        </w:tc>
      </w:tr>
      <w:tr>
        <w:tc>
          <w:tcPr>
            <w:tcW w:type="dxa" w:w="3400"/>
            <w:shd w:fill="FFFFFF" w:val="clear"/>
            <w:tcMar>
              <w:top w:type="dxa" w:w="80"/>
              <w:left w:type="dxa" w:w="100"/>
              <w:bottom w:type="dxa" w:w="80"/>
              <w:right w:type="dxa" w:w="100"/>
            </w:tcMar>
          </w:tcPr>
          <w:p>
            <w:r>
              <w:rPr>
                <w:b w:val="false"/>
                <w:bCs w:val="false"/>
                <w:color w:val="1F2937"/>
                <w:sz w:val="20"/>
                <w:szCs w:val="20"/>
              </w:rPr>
              <w:t xml:space="preserve">Meta per-message fee (utility/authentication)</w:t>
            </w:r>
          </w:p>
        </w:tc>
        <w:tc>
          <w:tcPr>
            <w:tcW w:type="dxa" w:w="3400"/>
            <w:shd w:fill="FFFFFF" w:val="clear"/>
            <w:tcMar>
              <w:top w:type="dxa" w:w="80"/>
              <w:left w:type="dxa" w:w="100"/>
              <w:bottom w:type="dxa" w:w="80"/>
              <w:right w:type="dxa" w:w="100"/>
            </w:tcMar>
          </w:tcPr>
          <w:p>
            <w:r>
              <w:rPr>
                <w:b w:val="false"/>
                <w:bCs w:val="false"/>
                <w:color w:val="1F2937"/>
                <w:sz w:val="20"/>
                <w:szCs w:val="20"/>
              </w:rPr>
              <w:t xml:space="preserve">Lower than marketing, volume-discounted</w:t>
            </w:r>
          </w:p>
        </w:tc>
        <w:tc>
          <w:tcPr>
            <w:tcW w:type="dxa" w:w="3200"/>
            <w:shd w:fill="FFFFFF" w:val="clear"/>
            <w:tcMar>
              <w:top w:type="dxa" w:w="80"/>
              <w:left w:type="dxa" w:w="100"/>
              <w:bottom w:type="dxa" w:w="80"/>
              <w:right w:type="dxa" w:w="100"/>
            </w:tcMar>
          </w:tcPr>
          <w:p>
            <w:r>
              <w:rPr>
                <w:b w:val="false"/>
                <w:bCs w:val="false"/>
                <w:color w:val="1F2937"/>
                <w:sz w:val="20"/>
                <w:szCs w:val="20"/>
              </w:rPr>
              <w:t xml:space="preserve">Cost drops as monthly volume increases</w:t>
            </w:r>
          </w:p>
        </w:tc>
      </w:tr>
    </w:tbl>
    <w:p>
      <w:pPr>
        <w:pBdr>
          <w:left w:val="single" w:color="2E4C9E" w:sz="12" w:space="8"/>
        </w:pBdr>
        <w:spacing w:after="160"/>
      </w:pPr>
      <w:r>
        <w:rPr>
          <w:i/>
          <w:iCs/>
          <w:color w:val="6B7280"/>
          <w:sz w:val="20"/>
          <w:szCs w:val="20"/>
        </w:rPr>
        <w:t xml:space="preserve">Because most CRM use cases (replying to an existing client, appointment reminders confirmed by the client, follow-ups) fall inside the free 24-hour service window, day-to-day WhatsApp costs for a typical business should stay low. Costs rise mainly if a business sends unsolicited marketing broadcasts. Avoiding a second BSP's platform fee (a flat €49–€200/month elsewhere) is the main saving specific to this milestone.</w:t>
      </w:r>
    </w:p>
    <w:p>
      <w:pPr>
        <w:pStyle w:val="Heading2"/>
        <w:spacing w:after="120" w:before="240"/>
      </w:pPr>
      <w:r>
        <w:t xml:space="preserve">Business Requirement: Meta Business Verification</w:t>
      </w:r>
    </w:p>
    <w:p>
      <w:pPr>
        <w:spacing w:after="120"/>
      </w:pPr>
      <w:r>
        <w:rPr>
          <w:color w:val="1F2937"/>
          <w:sz w:val="22"/>
          <w:szCs w:val="22"/>
        </w:rPr>
        <w:t xml:space="preserve">Every business that wants to use the WhatsApp Business API must complete Meta Business Verification, regardless of which provider carries the account. Telnyx's "Embedded Signup" handles this inside the same Mission Control dashboard already used for SMS and voice, rather than routing to a separate provider's console. This is a hard platform requirement, not optional, and includes:</w:t>
      </w:r>
    </w:p>
    <w:p>
      <w:pPr>
        <w:pStyle w:val="ListParagraph"/>
        <w:numPr>
          <w:ilvl w:val="0"/>
          <w:numId w:val="1"/>
        </w:numPr>
        <w:spacing w:after="60"/>
      </w:pPr>
      <w:r>
        <w:rPr>
          <w:color w:val="1F2937"/>
          <w:sz w:val="22"/>
          <w:szCs w:val="22"/>
        </w:rPr>
        <w:t xml:space="preserve">A registered legal business entity with supporting documents (incorporation certificate, tax registration, or similar).</w:t>
      </w:r>
    </w:p>
    <w:p>
      <w:pPr>
        <w:pStyle w:val="ListParagraph"/>
        <w:numPr>
          <w:ilvl w:val="0"/>
          <w:numId w:val="1"/>
        </w:numPr>
        <w:spacing w:after="60"/>
      </w:pPr>
      <w:r>
        <w:rPr>
          <w:color w:val="1F2937"/>
          <w:sz w:val="22"/>
          <w:szCs w:val="22"/>
        </w:rPr>
        <w:t xml:space="preserve">A live business website that displays the legal company name, matching the WhatsApp display name, ideally with a domain-matched email address (e.g. info@companyname.com) used for the Meta account. This is a requirement from Meta — a business without its own website cannot complete verification.</w:t>
      </w:r>
    </w:p>
    <w:p>
      <w:pPr>
        <w:pStyle w:val="ListParagraph"/>
        <w:numPr>
          <w:ilvl w:val="0"/>
          <w:numId w:val="1"/>
        </w:numPr>
        <w:spacing w:after="60"/>
      </w:pPr>
      <w:r>
        <w:rPr>
          <w:color w:val="1F2937"/>
          <w:sz w:val="22"/>
          <w:szCs w:val="22"/>
        </w:rPr>
        <w:t xml:space="preserve">A phone number the business can access to receive a verification code (SMS or voice call).</w:t>
      </w:r>
    </w:p>
    <w:p>
      <w:pPr>
        <w:spacing w:after="120"/>
      </w:pPr>
      <w:r>
        <w:rPr>
          <w:color w:val="1F2937"/>
          <w:sz w:val="22"/>
          <w:szCs w:val="22"/>
        </w:rPr>
        <w:t xml:space="preserve">Review time from Meta typically ranges from 3 business days to 4 weeks, so this should be started early in a business's onboarding, not on the day they want to go live.</w:t>
      </w:r>
    </w:p>
    <w:p>
      <w:pPr>
        <w:pStyle w:val="Heading2"/>
        <w:spacing w:after="120" w:before="240"/>
      </w:pPr>
      <w:r>
        <w:t xml:space="preserve">What This Milestone Delivers</w:t>
      </w:r>
    </w:p>
    <w:p>
      <w:pPr>
        <w:pStyle w:val="ListParagraph"/>
        <w:numPr>
          <w:ilvl w:val="0"/>
          <w:numId w:val="1"/>
        </w:numPr>
        <w:spacing w:after="60"/>
      </w:pPr>
      <w:r>
        <w:rPr>
          <w:color w:val="1F2937"/>
          <w:sz w:val="22"/>
          <w:szCs w:val="22"/>
        </w:rPr>
        <w:t xml:space="preserve">Per-business WhatsApp number provisioning through Telnyx, on the same account and number already used for SMS and voice, linked to that business's Meta Business Account.</w:t>
      </w:r>
    </w:p>
    <w:p>
      <w:pPr>
        <w:pStyle w:val="ListParagraph"/>
        <w:numPr>
          <w:ilvl w:val="0"/>
          <w:numId w:val="1"/>
        </w:numPr>
        <w:spacing w:after="60"/>
      </w:pPr>
      <w:r>
        <w:rPr>
          <w:color w:val="1F2937"/>
          <w:sz w:val="22"/>
          <w:szCs w:val="22"/>
        </w:rPr>
        <w:t xml:space="preserve">Send/receive WhatsApp messages logged into the same Client History timeline used for email, SMS, and calls.</w:t>
      </w:r>
    </w:p>
    <w:p>
      <w:pPr>
        <w:pStyle w:val="ListParagraph"/>
        <w:numPr>
          <w:ilvl w:val="0"/>
          <w:numId w:val="1"/>
        </w:numPr>
        <w:spacing w:after="60"/>
      </w:pPr>
      <w:r>
        <w:rPr>
          <w:color w:val="1F2937"/>
          <w:sz w:val="22"/>
          <w:szCs w:val="22"/>
        </w:rPr>
        <w:t xml:space="preserve">Guardrails/UI messaging to warn a business before it sends a message type that falls outside the free service window (to avoid surprise charges).</w:t>
      </w:r>
    </w:p>
    <w:p>
      <w:pPr>
        <w:spacing w:after="200" w:before="120"/>
      </w:pPr>
      <w:r>
        <w:rPr>
          <w:b/>
          <w:bCs/>
          <w:color w:val="1F2937"/>
          <w:sz w:val="23"/>
          <w:szCs w:val="23"/>
        </w:rPr>
        <w:t xml:space="preserve">Development Cost for this Milestone: </w:t>
      </w:r>
      <w:r>
        <w:rPr>
          <w:b/>
          <w:bCs/>
          <w:color w:val="1E7A46"/>
          <w:sz w:val="26"/>
          <w:szCs w:val="26"/>
        </w:rPr>
        <w:t xml:space="preserve">$65</w:t>
      </w:r>
    </w:p>
    <w:p>
      <w:pPr>
        <w:pStyle w:val="Heading1"/>
        <w:spacing w:after="160" w:before="300"/>
      </w:pPr>
      <w:r>
        <w:t xml:space="preserve">Notes for Client Conversation</w:t>
      </w:r>
    </w:p>
    <w:p>
      <w:pPr>
        <w:pStyle w:val="ListParagraph"/>
        <w:numPr>
          <w:ilvl w:val="0"/>
          <w:numId w:val="1"/>
        </w:numPr>
        <w:spacing w:after="60"/>
      </w:pPr>
      <w:r>
        <w:rPr>
          <w:color w:val="1F2937"/>
          <w:sz w:val="22"/>
          <w:szCs w:val="22"/>
        </w:rPr>
        <w:t xml:space="preserve">The $220 total covers development of all three integrations — down from the initial estimate specifically because two cost-saving changes were made: Email Integration is self-built rather than routed through a paid API, and SMS, Telephone, and WhatsApp are consolidated under one vendor (Telnyx) instead of two.</w:t>
      </w:r>
    </w:p>
    <w:p>
      <w:pPr>
        <w:pStyle w:val="ListParagraph"/>
        <w:numPr>
          <w:ilvl w:val="0"/>
          <w:numId w:val="1"/>
        </w:numPr>
        <w:spacing w:after="60"/>
      </w:pPr>
      <w:r>
        <w:rPr>
          <w:color w:val="1F2937"/>
          <w:sz w:val="22"/>
          <w:szCs w:val="22"/>
        </w:rPr>
        <w:t xml:space="preserve">Ongoing provider costs (Telnyx usage, Meta's WhatsApp message fees) are separate from the $220 development price, scale with usage, and should be factored into how these features are priced to tenant businesses (e.g., a paid add-on tier). Email Integration is the one milestone with no ongoing vendor bill at all.</w:t>
      </w:r>
    </w:p>
    <w:p>
      <w:pPr>
        <w:pStyle w:val="ListParagraph"/>
        <w:numPr>
          <w:ilvl w:val="0"/>
          <w:numId w:val="1"/>
        </w:numPr>
        <w:spacing w:after="60"/>
      </w:pPr>
      <w:r>
        <w:rPr>
          <w:color w:val="1F2937"/>
          <w:sz w:val="22"/>
          <w:szCs w:val="22"/>
        </w:rPr>
        <w:t xml:space="preserve">WhatsApp is the milestone most likely to have onboarding friction, purely because of Meta's verification process and the website requirement — worth setting expectations with the client that this isn't instant for every business.</w:t>
      </w:r>
    </w:p>
    <w:p>
      <w:pPr>
        <w:pStyle w:val="ListParagraph"/>
        <w:numPr>
          <w:ilvl w:val="0"/>
          <w:numId w:val="1"/>
        </w:numPr>
        <w:spacing w:after="60"/>
      </w:pPr>
      <w:r>
        <w:rPr>
          <w:color w:val="1F2937"/>
          <w:sz w:val="22"/>
          <w:szCs w:val="22"/>
        </w:rPr>
        <w:t xml:space="preserve">Social Media integration remains excluded from this documentation, pending the separate discussion already agreed on.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2026-08-05T20:27:48.223Z</dcterms:created>
  <dcterms:modified xsi:type="dcterms:W3CDTF">2026-08-05T20:27:48.234Z</dcterms:modified>
</cp:coreProperties>
</file>

<file path=docProps/custom.xml><?xml version="1.0" encoding="utf-8"?>
<Properties xmlns="http://schemas.openxmlformats.org/officeDocument/2006/custom-properties" xmlns:vt="http://schemas.openxmlformats.org/officeDocument/2006/docPropsVTypes"/>
</file>