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60"/>
        <w:jc w:val="center"/>
      </w:pPr>
      <w:r>
        <w:rPr>
          <w:rFonts w:ascii="Arial" w:hAnsi="Arial" w:eastAsia="Arial"/>
          <w:b/>
          <w:color w:val="191919"/>
          <w:sz w:val="31"/>
        </w:rPr>
        <w:t>ДОГОВОР № ДОУ-QUAR-200726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6F6F6F"/>
          <w:sz w:val="21"/>
        </w:rPr>
        <w:t>оказания услуг по дизайну, разработке и публикации сайта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20"/>
        <w:gridCol w:w="4820"/>
      </w:tblGrid>
      <w:tr>
        <w:tc>
          <w:tcPr>
            <w:tcW w:type="dxa" w:w="4820"/>
            <w:tcMar>
              <w:top w:w="3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rial" w:hAnsi="Arial" w:eastAsia="Arial"/>
                <w:b/>
                <w:color w:val="2B2B2B"/>
                <w:sz w:val="21"/>
              </w:rPr>
              <w:t>г. Новосибирск</w:t>
            </w:r>
          </w:p>
        </w:tc>
        <w:tc>
          <w:tcPr>
            <w:tcW w:type="dxa" w:w="4820"/>
            <w:tcMar>
              <w:top w:w="3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2B2B2B"/>
                <w:sz w:val="21"/>
              </w:rPr>
              <w:t>20 июля 2026 г.</w:t>
            </w:r>
          </w:p>
        </w:tc>
      </w:tr>
    </w:tbl>
    <w:p>
      <w:pPr>
        <w:spacing w:after="160"/>
        <w:ind w:firstLine="567"/>
        <w:jc w:val="both"/>
      </w:pPr>
      <w:r>
        <w:rPr>
          <w:rFonts w:ascii="Arial" w:hAnsi="Arial" w:eastAsia="Arial"/>
          <w:color w:val="2B2B2B"/>
          <w:sz w:val="21"/>
        </w:rPr>
        <w:t>Общество с ограниченной ответственностью «ЮНФ СОПРОВОЖДЕНИЕ», ИНН 7727416413, КПП 772701001, в лице ________________________________, действующего на основании ________________________, именуемое в дальнейшем «Заказчик», с одной стороны, и индивидуальный предприниматель Бренейзе Алексей Васильевич, ИНН 540552157271, ОГРНИП 318547600133003, именуемый в дальнейшем «Исполнитель», с другой стороны, совместно именуемые «Стороны», заключили настоящий Договор о нижеследующем.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1. ПРЕДМЕТ ДОГОВОРА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1.1. </w:t>
      </w:r>
      <w:r>
        <w:rPr>
          <w:rFonts w:ascii="Arial" w:hAnsi="Arial" w:eastAsia="Arial"/>
          <w:color w:val="2B2B2B"/>
          <w:sz w:val="21"/>
        </w:rPr>
        <w:t>Исполнитель обязуется по заданию Заказчика оказать услуги и выполнить работы по проектированию, дизайну, frontend-разработке, технической настройке и публикации публичного сайта QUAR, а Заказчик обязуется принять результат и оплатить его на условиях настоящего Договора.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1.2. </w:t>
      </w:r>
      <w:r>
        <w:rPr>
          <w:rFonts w:ascii="Arial" w:hAnsi="Arial" w:eastAsia="Arial"/>
          <w:color w:val="2B2B2B"/>
          <w:sz w:val="21"/>
        </w:rPr>
        <w:t>Состав, функциональные границы, требования к результату и критерии приемки определены в Приложении № 1 «Техническое задание». Этапы, сроки и стоимость определены в Приложении № 2 «Календарный план и стоимость».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1.3. </w:t>
      </w:r>
      <w:r>
        <w:rPr>
          <w:rFonts w:ascii="Arial" w:hAnsi="Arial" w:eastAsia="Arial"/>
          <w:color w:val="2B2B2B"/>
          <w:sz w:val="21"/>
        </w:rPr>
        <w:t>Итоговым результатом является опубликованный на основном домене Заказчика адаптивный двуязычный публичный сайт RU / EN, соответствующий согласованному Техническому заданию, а также переданные Заказчику исходные файлы и доступы, перечисленные в Приложении № 1.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1.4. </w:t>
      </w:r>
      <w:r>
        <w:rPr>
          <w:rFonts w:ascii="Arial" w:hAnsi="Arial" w:eastAsia="Arial"/>
          <w:color w:val="2B2B2B"/>
          <w:sz w:val="21"/>
        </w:rPr>
        <w:t>Настоящий Договор является смешанным и содержит элементы договора возмездного оказания услуг, договора подряда и распоряжения исключительными правами. К отношениям Сторон применяются соответствующие нормы законодательства Российской Федерации в части, не противоречащей существу обязательств.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1.5. </w:t>
      </w:r>
      <w:r>
        <w:rPr>
          <w:rFonts w:ascii="Arial" w:hAnsi="Arial" w:eastAsia="Arial"/>
          <w:color w:val="2B2B2B"/>
          <w:sz w:val="21"/>
        </w:rPr>
        <w:t>Исполнитель вправе привлекать третьих лиц, оставаясь ответственным перед Заказчиком за их действия как за свои собственные.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2. ПОРЯДОК ВЫПОЛНЕНИЯ И СРОКИ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2.1. </w:t>
      </w:r>
      <w:r>
        <w:rPr>
          <w:rFonts w:ascii="Arial" w:hAnsi="Arial" w:eastAsia="Arial"/>
          <w:color w:val="2B2B2B"/>
          <w:sz w:val="21"/>
        </w:rPr>
        <w:t>Общий срок выполнения проекта составляет 20–25 (двадцать — двадцать пять) рабочих дней и исчисляется с рабочего дня, следующего за наступлением последнего из событий: поступление аванса; получение полного стартового комплекта материалов и доступов; письменное подтверждение Заказчиком начала работ.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2.2. </w:t>
      </w:r>
      <w:r>
        <w:rPr>
          <w:rFonts w:ascii="Arial" w:hAnsi="Arial" w:eastAsia="Arial"/>
          <w:color w:val="2B2B2B"/>
          <w:sz w:val="21"/>
        </w:rPr>
        <w:t>Проект выполняется по этапам, установленным Приложением № 2. Исполнитель вправе уточнять последовательность отдельных действий внутри этапа, если это не уменьшает согласованный объем и не ухудшает результат.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2.3. </w:t>
      </w:r>
      <w:r>
        <w:rPr>
          <w:rFonts w:ascii="Arial" w:hAnsi="Arial" w:eastAsia="Arial"/>
          <w:color w:val="2B2B2B"/>
          <w:sz w:val="21"/>
        </w:rPr>
        <w:t>Заказчик направляет консолидированную обратную связь и решения по согласованию в течение 1 (одного) рабочего дня с момента получения материалов. При задержке материалов, доступов, технической информации или согласования срок Исполнителя автоматически продлевается на период задержки и на разумный срок возобновления работ, но не более 3 рабочих дней.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2.4. </w:t>
      </w:r>
      <w:r>
        <w:rPr>
          <w:rFonts w:ascii="Arial" w:hAnsi="Arial" w:eastAsia="Arial"/>
          <w:color w:val="2B2B2B"/>
          <w:sz w:val="21"/>
        </w:rPr>
        <w:t>Исполнитель информирует Заказчика о препятствиях, способных повлиять на срок или результат, в разумный срок после их выявления.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2.5. </w:t>
      </w:r>
      <w:r>
        <w:rPr>
          <w:rFonts w:ascii="Arial" w:hAnsi="Arial" w:eastAsia="Arial"/>
          <w:color w:val="2B2B2B"/>
          <w:sz w:val="21"/>
        </w:rPr>
        <w:t>Изменения, выходящие за пределы Технического задания или согласованного числа итераций, выполняются только после письменного согласования дополнительной стоимости и срока. До такого согласования Исполнитель вправе не приступать к дополнительным работам.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2.6. </w:t>
      </w:r>
      <w:r>
        <w:rPr>
          <w:rFonts w:ascii="Arial" w:hAnsi="Arial" w:eastAsia="Arial"/>
          <w:color w:val="2B2B2B"/>
          <w:sz w:val="21"/>
        </w:rPr>
        <w:t>Публикация сайта на основном домене производится после приемки тестовой версии, получения необходимых доступов и поступления третьего платежа, предусмотренного пунктом 3.2 настоящего Договора.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3. СТОИМОСТЬ И ПОРЯДОК РАСЧЕТОВ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3.1. </w:t>
      </w:r>
      <w:r>
        <w:rPr>
          <w:rFonts w:ascii="Arial" w:hAnsi="Arial" w:eastAsia="Arial"/>
          <w:color w:val="2B2B2B"/>
          <w:sz w:val="21"/>
        </w:rPr>
        <w:t>Общая цена Договора составляет 150 000 (сто пятьдесят тысяч) рублей 00 копеек.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3.2. </w:t>
      </w:r>
      <w:r>
        <w:rPr>
          <w:rFonts w:ascii="Arial" w:hAnsi="Arial" w:eastAsia="Arial"/>
          <w:color w:val="2B2B2B"/>
          <w:sz w:val="21"/>
        </w:rPr>
        <w:t>Оплата производится безналичным переводом на расчетный счет Исполнителя в следующем порядке: 75 000 рублей — аванс после подписания Договора и до начала работ; 45 000 рублей — после утверждения ключевого визуального дизайна; 30 000 рублей — после приемки тестовой версии и до публикации на основном домене.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3.3. </w:t>
      </w:r>
      <w:r>
        <w:rPr>
          <w:rFonts w:ascii="Arial" w:hAnsi="Arial" w:eastAsia="Arial"/>
          <w:color w:val="2B2B2B"/>
          <w:sz w:val="21"/>
        </w:rPr>
        <w:t>Обязанность по оплате считается исполненной в дату зачисления денежных средств на расчетный счет Исполнителя. Исполнитель вправе приостановить работы при просрочке соответствующего платежа; срок проекта продлевается на период такой просрочки и возобновления работ.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3.4. </w:t>
      </w:r>
      <w:r>
        <w:rPr>
          <w:rFonts w:ascii="Arial" w:hAnsi="Arial" w:eastAsia="Arial"/>
          <w:color w:val="2B2B2B"/>
          <w:sz w:val="21"/>
        </w:rPr>
        <w:t>Цена включает все расходы Исполнителя, необходимые для выполнения согласованного объема, а также вознаграждение за передачу исключительных прав в размере 10 000 (десяти тысяч) рублей, включенное в окончательный платеж.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3.5. </w:t>
      </w:r>
      <w:r>
        <w:rPr>
          <w:rFonts w:ascii="Arial" w:hAnsi="Arial" w:eastAsia="Arial"/>
          <w:color w:val="2B2B2B"/>
          <w:sz w:val="21"/>
        </w:rPr>
        <w:t>Домены, хостинг, платные шрифты, лицензии, подписки и иные услуги третьих лиц не входят в цену и оплачиваются Заказчиком отдельно, если необходимость таких расходов письменно согласована Сторонами.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3.6. </w:t>
      </w:r>
      <w:r>
        <w:rPr>
          <w:rFonts w:ascii="Arial" w:hAnsi="Arial" w:eastAsia="Arial"/>
          <w:color w:val="2B2B2B"/>
          <w:sz w:val="21"/>
        </w:rPr>
        <w:t>Каждая Сторона самостоятельно исполняет свои налоговые обязанности. Дополнительные работы оплачиваются на основании отдельной сметы, счета или дополнительного соглашения.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4. ПРАВА И ОБЯЗАННОСТИ СТОРОН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4.1. </w:t>
      </w:r>
      <w:r>
        <w:rPr>
          <w:rFonts w:ascii="Arial" w:hAnsi="Arial" w:eastAsia="Arial"/>
          <w:color w:val="2B2B2B"/>
          <w:sz w:val="21"/>
        </w:rPr>
        <w:t>Исполнитель обязан: выполнить согласованный объем профессионально и в установленный срок; учитывать согласованные замечания; обеспечить конфиденциальность; передать результат и доступы; устранить гарантийные недостатки на условиях раздела 8.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4.2. </w:t>
      </w:r>
      <w:r>
        <w:rPr>
          <w:rFonts w:ascii="Arial" w:hAnsi="Arial" w:eastAsia="Arial"/>
          <w:color w:val="2B2B2B"/>
          <w:sz w:val="21"/>
        </w:rPr>
        <w:t>Исполнитель вправе: запрашивать необходимые материалы и решения; приостанавливать работы при нарушениях Заказчика; использовать типовые методы, библиотеки и собственные наработки; получать оплату принятых этапов.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4.3. </w:t>
      </w:r>
      <w:r>
        <w:rPr>
          <w:rFonts w:ascii="Arial" w:hAnsi="Arial" w:eastAsia="Arial"/>
          <w:color w:val="2B2B2B"/>
          <w:sz w:val="21"/>
        </w:rPr>
        <w:t>Заказчик обязан: назначить одного уполномоченного представителя; предоставить контент, переводы, юридические документы, доступы, API-документацию и тестовые данные; обеспечить участие своей технической команды; своевременно согласовывать результаты и оплачивать этапы.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4.4. </w:t>
      </w:r>
      <w:r>
        <w:rPr>
          <w:rFonts w:ascii="Arial" w:hAnsi="Arial" w:eastAsia="Arial"/>
          <w:color w:val="2B2B2B"/>
          <w:sz w:val="21"/>
        </w:rPr>
        <w:t>Заказчик гарантирует достоверность предоставленной информации и наличие прав на тексты, товарные знаки, логотипы, изображения, видео, шрифты и иные материалы. Ответственность за содержание юридических документов, коммерческие показатели, оферты и согласия несет Заказчик.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4.5. </w:t>
      </w:r>
      <w:r>
        <w:rPr>
          <w:rFonts w:ascii="Arial" w:hAnsi="Arial" w:eastAsia="Arial"/>
          <w:color w:val="2B2B2B"/>
          <w:sz w:val="21"/>
        </w:rPr>
        <w:t>Заказчик является оператором персональных данных пользователей сайта и самостоятельно определяет цели, правовые основания и сроки обработки. Исполнитель обеспечивает только согласованную техническую реализацию интерфейсов и передачи данных в готовые системы Заказчика.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5. СДАЧА И ПРИЕМКА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5.1. </w:t>
      </w:r>
      <w:r>
        <w:rPr>
          <w:rFonts w:ascii="Arial" w:hAnsi="Arial" w:eastAsia="Arial"/>
          <w:color w:val="2B2B2B"/>
          <w:sz w:val="21"/>
        </w:rPr>
        <w:t>Результат этапа передается ссылкой на макеты, тестовый контур, репозиторий или иным согласованным способом. Исполнитель также вправе направить акт оказанных услуг в электронном виде.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5.2. </w:t>
      </w:r>
      <w:r>
        <w:rPr>
          <w:rFonts w:ascii="Arial" w:hAnsi="Arial" w:eastAsia="Arial"/>
          <w:color w:val="2B2B2B"/>
          <w:sz w:val="21"/>
        </w:rPr>
        <w:t>В течение 5 (пяти) рабочих дней после передачи результата Заказчик обязан принять его либо направить единый мотивированный перечень несоответствий Техническому заданию с указанием конкретных пунктов и воспроизводимых обстоятельств.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5.3. </w:t>
      </w:r>
      <w:r>
        <w:rPr>
          <w:rFonts w:ascii="Arial" w:hAnsi="Arial" w:eastAsia="Arial"/>
          <w:color w:val="2B2B2B"/>
          <w:sz w:val="21"/>
        </w:rPr>
        <w:t>Исполнитель устраняет подтвержденные несоответствия, относящиеся к согласованному объему, и повторно передает результат на приемку. Замечания о новых функциях, изменении ранее утвержденных решений или субъективных предпочтениях не являются недостатками и рассматриваются как запрос на дополнительные работы.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5.4. </w:t>
      </w:r>
      <w:r>
        <w:rPr>
          <w:rFonts w:ascii="Arial" w:hAnsi="Arial" w:eastAsia="Arial"/>
          <w:color w:val="2B2B2B"/>
          <w:sz w:val="21"/>
        </w:rPr>
        <w:t>Если в срок, установленный пунктом 5.2, Заказчик не направил подписанный акт или мотивированный отказ, результат считается принятым без замечаний, а Исполнитель вправе оформить односторонний акт. Переписка, содержащая прямое утверждение результата, также подтверждает приемку соответствующего этапа.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5.5. </w:t>
      </w:r>
      <w:r>
        <w:rPr>
          <w:rFonts w:ascii="Arial" w:hAnsi="Arial" w:eastAsia="Arial"/>
          <w:color w:val="2B2B2B"/>
          <w:sz w:val="21"/>
        </w:rPr>
        <w:t>Несущественные недостатки, не препятствующие использованию сайта по назначению, не являются основанием для отказа от приемки и устраняются в рамках гарантийных обязательств.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6. ИНТЕЛЛЕКТУАЛЬНЫЕ ПРАВА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6.1. </w:t>
      </w:r>
      <w:r>
        <w:rPr>
          <w:rFonts w:ascii="Arial" w:hAnsi="Arial" w:eastAsia="Arial"/>
          <w:color w:val="2B2B2B"/>
          <w:sz w:val="21"/>
        </w:rPr>
        <w:t>Исключительные права на специально созданные по настоящему Договору дизайн-макеты, графические элементы и программный код переходят к Заказчику в полном объеме после полной оплаты цены Договора и приемки соответствующего результата. Территория использования — весь мир, срок — весь период действия исключительного права.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6.2. </w:t>
      </w:r>
      <w:r>
        <w:rPr>
          <w:rFonts w:ascii="Arial" w:hAnsi="Arial" w:eastAsia="Arial"/>
          <w:color w:val="2B2B2B"/>
          <w:sz w:val="21"/>
        </w:rPr>
        <w:t>Заказчик вправе воспроизводить, перерабатывать, модифицировать, доводить до всеобщего сведения и иным не запрещенным законом способом использовать переданные результаты самостоятельно или с привлечением третьих лиц.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6.3. </w:t>
      </w:r>
      <w:r>
        <w:rPr>
          <w:rFonts w:ascii="Arial" w:hAnsi="Arial" w:eastAsia="Arial"/>
          <w:color w:val="2B2B2B"/>
          <w:sz w:val="21"/>
        </w:rPr>
        <w:t>Права на материалы Заказчика сохраняются за Заказчиком. Права на существовавшие до Договора инструменты, универсальные компоненты, методы и наработки Исполнителя сохраняются за Исполнителем; Заказчику предоставляется бессрочное безвозмездное право использовать их в составе сайта в объеме, необходимом для эксплуатации и изменения сайта.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6.4. </w:t>
      </w:r>
      <w:r>
        <w:rPr>
          <w:rFonts w:ascii="Arial" w:hAnsi="Arial" w:eastAsia="Arial"/>
          <w:color w:val="2B2B2B"/>
          <w:sz w:val="21"/>
        </w:rPr>
        <w:t>Сторонние библиотеки, шрифты, программное обеспечение и иные компоненты используются на условиях соответствующих лицензий. Исполнитель передает перечень существенных сторонних компонентов по запросу Заказчика.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6.5. </w:t>
      </w:r>
      <w:r>
        <w:rPr>
          <w:rFonts w:ascii="Arial" w:hAnsi="Arial" w:eastAsia="Arial"/>
          <w:color w:val="2B2B2B"/>
          <w:sz w:val="21"/>
        </w:rPr>
        <w:t>После публичного запуска Исполнитель вправе упоминать факт сотрудничества и демонстрировать общедоступные страницы сайта в портфолио, если Заказчик письменно не запретил такое использование до публикации.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7. КОНФИДЕНЦИАЛЬНОСТЬ И ДАННЫЕ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7.1. </w:t>
      </w:r>
      <w:r>
        <w:rPr>
          <w:rFonts w:ascii="Arial" w:hAnsi="Arial" w:eastAsia="Arial"/>
          <w:color w:val="2B2B2B"/>
          <w:sz w:val="21"/>
        </w:rPr>
        <w:t>Конфиденциальной признается непубличная коммерческая, техническая и организационная информация, переданная в связи с Договором и обозначенная как конфиденциальная либо очевидно имеющая такой характер.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7.2. </w:t>
      </w:r>
      <w:r>
        <w:rPr>
          <w:rFonts w:ascii="Arial" w:hAnsi="Arial" w:eastAsia="Arial"/>
          <w:color w:val="2B2B2B"/>
          <w:sz w:val="21"/>
        </w:rPr>
        <w:t>Стороны не раскрывают конфиденциальную информацию третьим лицам без письменного согласия другой Стороны, кроме привлеченных исполнителей, связанных обязанностью конфиденциальности, и случаев, прямо предусмотренных законом. Обязательство действует в течение 3 (трех) лет после прекращения Договора.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7.3. </w:t>
      </w:r>
      <w:r>
        <w:rPr>
          <w:rFonts w:ascii="Arial" w:hAnsi="Arial" w:eastAsia="Arial"/>
          <w:color w:val="2B2B2B"/>
          <w:sz w:val="21"/>
        </w:rPr>
        <w:t>Если для подключения форм Исполнитель получает доступ к тестовым или рабочим данным, он использует их исключительно для исполнения Договора, не создает отдельные базы пользователей и после завершения проекта прекращает доступ, если иное письменно не согласовано.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8. ГАРАНТИЯ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8.1. </w:t>
      </w:r>
      <w:r>
        <w:rPr>
          <w:rFonts w:ascii="Arial" w:hAnsi="Arial" w:eastAsia="Arial"/>
          <w:color w:val="2B2B2B"/>
          <w:sz w:val="21"/>
        </w:rPr>
        <w:t>Гарантийный срок составляет 30 (тридцать) календарных дней с даты публикации сайта. В этот период Исполнитель без дополнительной оплаты устраняет воспроизводимые ошибки собственной реализации, из-за которых результат не соответствует Техническому заданию.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8.2. </w:t>
      </w:r>
      <w:r>
        <w:rPr>
          <w:rFonts w:ascii="Arial" w:hAnsi="Arial" w:eastAsia="Arial"/>
          <w:color w:val="2B2B2B"/>
          <w:sz w:val="21"/>
        </w:rPr>
        <w:t>Гарантия не распространяется на новые функции, изменение контента и дизайна, вмешательство Заказчика или третьих лиц, обновления сторонних сервисов, сбои хостинга, домена, API, кабинета, CRM, календаря, аналитики и иного программного обеспечения вне зоны ответственности Исполнителя.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9. ОТВЕТСТВЕННОСТЬ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9.1. </w:t>
      </w:r>
      <w:r>
        <w:rPr>
          <w:rFonts w:ascii="Arial" w:hAnsi="Arial" w:eastAsia="Arial"/>
          <w:color w:val="2B2B2B"/>
          <w:sz w:val="21"/>
        </w:rPr>
        <w:t>За нарушение обязательств Стороны несут ответственность в соответствии с законодательством Российской Федерации и настоящим Договором.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9.2. </w:t>
      </w:r>
      <w:r>
        <w:rPr>
          <w:rFonts w:ascii="Arial" w:hAnsi="Arial" w:eastAsia="Arial"/>
          <w:color w:val="2B2B2B"/>
          <w:sz w:val="21"/>
        </w:rPr>
        <w:t>За просрочку оплаты Заказчик по письменному требованию Исполнителя уплачивает неустойку 0,1% от просроченной суммы за каждый день, но не более 10% такой суммы.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9.3. </w:t>
      </w:r>
      <w:r>
        <w:rPr>
          <w:rFonts w:ascii="Arial" w:hAnsi="Arial" w:eastAsia="Arial"/>
          <w:color w:val="2B2B2B"/>
          <w:sz w:val="21"/>
        </w:rPr>
        <w:t>За виновную просрочку этапа Исполнитель по письменному требованию Заказчика уплачивает неустойку 0,1% от стоимости просроченного этапа за каждый день, но не более 10% его стоимости. Неустойка не начисляется при задержке Заказчика, изменении объема, сбоях внешних систем или обстоятельствах непреодолимой силы.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9.4. </w:t>
      </w:r>
      <w:r>
        <w:rPr>
          <w:rFonts w:ascii="Arial" w:hAnsi="Arial" w:eastAsia="Arial"/>
          <w:color w:val="2B2B2B"/>
          <w:sz w:val="21"/>
        </w:rPr>
        <w:t>Совокупная ответственность Исполнителя по Договору ограничена суммой фактически полученной им оплаты, кроме случаев умышленного нарушения, нарушения конфиденциальности или прав третьих лиц, когда ограничение запрещено законом.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9.5. </w:t>
      </w:r>
      <w:r>
        <w:rPr>
          <w:rFonts w:ascii="Arial" w:hAnsi="Arial" w:eastAsia="Arial"/>
          <w:color w:val="2B2B2B"/>
          <w:sz w:val="21"/>
        </w:rPr>
        <w:t>Заказчик самостоятельно урегулирует требования, связанные с предоставленными им материалами, правовыми основаниями обработки данных, текстами документов и работой систем, находящихся вне согласованной зоны ответственности Исполнителя.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10. ОБСТОЯТЕЛЬСТВА НЕПРЕОДОЛИМОЙ СИЛЫ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10.1. </w:t>
      </w:r>
      <w:r>
        <w:rPr>
          <w:rFonts w:ascii="Arial" w:hAnsi="Arial" w:eastAsia="Arial"/>
          <w:color w:val="2B2B2B"/>
          <w:sz w:val="21"/>
        </w:rPr>
        <w:t>Сторона освобождается от ответственности за неисполнение обязательств вследствие чрезвычайных и непредотвратимых обстоятельств, возникших после заключения Договора, если уведомит другую Сторону в течение 5 рабочих дней после того, как ей стало известно о таких обстоятельствах.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10.2. </w:t>
      </w:r>
      <w:r>
        <w:rPr>
          <w:rFonts w:ascii="Arial" w:hAnsi="Arial" w:eastAsia="Arial"/>
          <w:color w:val="2B2B2B"/>
          <w:sz w:val="21"/>
        </w:rPr>
        <w:t>Срок исполнения продлевается на период действия таких обстоятельств и их последствий. Если они продолжаются более 30 календарных дней, каждая Сторона вправе предложить изменение условий или прекращение Договора с оплатой фактически выполненного объема.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11. СРОК ДЕЙСТВИЯ И ПРЕКРАЩЕНИЕ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11.1. </w:t>
      </w:r>
      <w:r>
        <w:rPr>
          <w:rFonts w:ascii="Arial" w:hAnsi="Arial" w:eastAsia="Arial"/>
          <w:color w:val="2B2B2B"/>
          <w:sz w:val="21"/>
        </w:rPr>
        <w:t>Договор вступает в силу с даты его подписания обеими Сторонами и действует до полного исполнения обязательств, а положения об интеллектуальных правах, конфиденциальности, гарантии и ответственности — в пределах установленных ими сроков.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11.2. </w:t>
      </w:r>
      <w:r>
        <w:rPr>
          <w:rFonts w:ascii="Arial" w:hAnsi="Arial" w:eastAsia="Arial"/>
          <w:color w:val="2B2B2B"/>
          <w:sz w:val="21"/>
        </w:rPr>
        <w:t>Заказчик вправе отказаться от исполнения Договора в одностороннем порядке при условии оплаты фактически оказанных услуг, выполненных работ и документально подтвержденных расходов Исполнителя.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11.3. </w:t>
      </w:r>
      <w:r>
        <w:rPr>
          <w:rFonts w:ascii="Arial" w:hAnsi="Arial" w:eastAsia="Arial"/>
          <w:color w:val="2B2B2B"/>
          <w:sz w:val="21"/>
        </w:rPr>
        <w:t>Исполнитель вправе отказаться от исполнения Договора с соблюдением требований статьи 782 Гражданского кодекса Российской Федерации и письменным уведомлением Заказчика не менее чем за 10 рабочих дней.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11.4. </w:t>
      </w:r>
      <w:r>
        <w:rPr>
          <w:rFonts w:ascii="Arial" w:hAnsi="Arial" w:eastAsia="Arial"/>
          <w:color w:val="2B2B2B"/>
          <w:sz w:val="21"/>
        </w:rPr>
        <w:t>При прекращении Договора Исполнитель передает Заказчику оплаченные и пригодные к использованию результаты в их текущем состоянии. Исключительные права переходят только в отношении полностью оплаченного объема.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12. СПОРЫ И ЮРИДИЧЕСКИ ЗНАЧИМЫЕ СООБЩЕНИЯ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12.1. </w:t>
      </w:r>
      <w:r>
        <w:rPr>
          <w:rFonts w:ascii="Arial" w:hAnsi="Arial" w:eastAsia="Arial"/>
          <w:color w:val="2B2B2B"/>
          <w:sz w:val="21"/>
        </w:rPr>
        <w:t>Стороны стремятся урегулировать разногласия путем переговоров. До обращения в суд обязательна письменная претензия; срок ответа — 10 рабочих дней с даты ее получения.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12.2. </w:t>
      </w:r>
      <w:r>
        <w:rPr>
          <w:rFonts w:ascii="Arial" w:hAnsi="Arial" w:eastAsia="Arial"/>
          <w:color w:val="2B2B2B"/>
          <w:sz w:val="21"/>
        </w:rPr>
        <w:t>При недостижении соглашения спор рассматривается арбитражным судом по месту нахождения ответчика в соответствии с законодательством Российской Федерации.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12.3. </w:t>
      </w:r>
      <w:r>
        <w:rPr>
          <w:rFonts w:ascii="Arial" w:hAnsi="Arial" w:eastAsia="Arial"/>
          <w:color w:val="2B2B2B"/>
          <w:sz w:val="21"/>
        </w:rPr>
        <w:t>Юридически значимые сообщения, согласования и результаты могут направляться по адресам электронной почты и в мессенджерах, указанных в реквизитах или письменно сообщенных Сторонами. Такие сообщения признаются исходящими от уполномоченных лиц, если из обстоятельств не следует иное.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12.4. </w:t>
      </w:r>
      <w:r>
        <w:rPr>
          <w:rFonts w:ascii="Arial" w:hAnsi="Arial" w:eastAsia="Arial"/>
          <w:color w:val="2B2B2B"/>
          <w:sz w:val="21"/>
        </w:rPr>
        <w:t>Скан-копии и электронные образы документов имеют силу до обмена оригиналами. Стороны вправе подписывать документы усиленной электронной подписью или через систему электронного документооборота.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13. ЗАКЛЮЧИТЕЛЬНЫЕ ПОЛОЖЕНИЯ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13.1. </w:t>
      </w:r>
      <w:r>
        <w:rPr>
          <w:rFonts w:ascii="Arial" w:hAnsi="Arial" w:eastAsia="Arial"/>
          <w:color w:val="2B2B2B"/>
          <w:sz w:val="21"/>
        </w:rPr>
        <w:t>Все приложения и письменные дополнительные соглашения являются неотъемлемой частью Договора.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13.2. </w:t>
      </w:r>
      <w:r>
        <w:rPr>
          <w:rFonts w:ascii="Arial" w:hAnsi="Arial" w:eastAsia="Arial"/>
          <w:color w:val="2B2B2B"/>
          <w:sz w:val="21"/>
        </w:rPr>
        <w:t>Недействительность отдельного положения не влечет недействительность остальных положений. Во всем остальном Стороны руководствуются законодательством Российской Федерации.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13.3. </w:t>
      </w:r>
      <w:r>
        <w:rPr>
          <w:rFonts w:ascii="Arial" w:hAnsi="Arial" w:eastAsia="Arial"/>
          <w:color w:val="2B2B2B"/>
          <w:sz w:val="21"/>
        </w:rPr>
        <w:t>Договор составлен в двух экземплярах равной юридической силы — по одному для каждой Стороны, либо в виде одного электронного документа, подписанного Сторонами.</w:t>
      </w:r>
    </w:p>
    <w:p>
      <w:pPr>
        <w:pStyle w:val="Heading2"/>
      </w:pPr>
      <w:r>
        <w:t>Подписи и реквизиты Сторон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4820"/>
        <w:gridCol w:w="4820"/>
      </w:tblGrid>
      <w:tr>
        <w:trPr>
          <w:cantSplit/>
          <w:tblHeader w:val="true"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ЗАКАЗЧИК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ООО «ЮНФ СОПРОВОЖДЕНИЕ»</w:t>
              <w:br/>
              <w:t>ИНН 7727416413</w:t>
              <w:br/>
              <w:t>КПП 772701001</w:t>
              <w:br/>
              <w:t>ОГРН: __________________________</w:t>
              <w:br/>
              <w:t>Юридический адрес: __________________________</w:t>
              <w:br/>
              <w:t>р/с 40702810201500182103</w:t>
              <w:br/>
              <w:t>ООО «Банк Точка»</w:t>
              <w:br/>
              <w:t>БИК 044525104</w:t>
              <w:br/>
              <w:t>к/с 30101810745374525104</w:t>
              <w:br/>
              <w:t>E-mail проекта: contact@quar.website</w:t>
              <w:br/>
              <w:br/>
              <w:t>Представитель: __________________________</w:t>
              <w:br/>
              <w:t>Основание полномочий: ____________________</w:t>
              <w:br/>
              <w:br/>
              <w:t>________________ / __________________ /</w:t>
              <w:br/>
              <w:t>М.П. (при наличии)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top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ИП Бренейзе Алексей Васильевич</w:t>
              <w:br/>
              <w:t>ИНН 540552157271</w:t>
              <w:br/>
              <w:t>ОГРНИП 318547600133003</w:t>
              <w:br/>
              <w:t>Адрес: г. Новосибирск, ул. Крылова, д. 34, кв. 92</w:t>
              <w:br/>
              <w:t>р/с 40802810220000099567</w:t>
              <w:br/>
              <w:t>ООО «Банк Точка»</w:t>
              <w:br/>
              <w:t>БИК 044525104</w:t>
              <w:br/>
              <w:t>к/с 30101810745374525104</w:t>
              <w:br/>
              <w:t>E-mail: breneize@yandex.ru</w:t>
              <w:br/>
              <w:t>Телефон / Telegram: +7 993 620-13-69</w:t>
              <w:br/>
              <w:br/>
              <w:br/>
              <w:t>________________ / А.В. Бренейзе /</w:t>
              <w:br/>
              <w:t>М.П. (при наличии)</w:t>
            </w:r>
          </w:p>
        </w:tc>
      </w:tr>
    </w:tbl>
    <w:p>
      <w:pPr>
        <w:spacing w:before="0" w:after="60" w:line="20" w:lineRule="exact"/>
      </w:pPr>
    </w:p>
    <w:p>
      <w:pPr>
        <w:pageBreakBefore/>
        <w:spacing w:after="200"/>
        <w:jc w:val="right"/>
      </w:pPr>
      <w:r>
        <w:rPr>
          <w:rFonts w:ascii="Arial" w:hAnsi="Arial" w:eastAsia="Arial"/>
          <w:color w:val="6F6F6F"/>
          <w:sz w:val="18"/>
        </w:rPr>
        <w:t>Приложение № 1</w:t>
        <w:br/>
        <w:t>к Договору № ДОУ-QUAR-200726</w:t>
        <w:br/>
        <w:t>от 20 июля 2026 г.</w:t>
      </w:r>
    </w:p>
    <w:p>
      <w:pPr>
        <w:spacing w:before="140" w:after="60"/>
        <w:jc w:val="center"/>
      </w:pPr>
      <w:r>
        <w:rPr>
          <w:rFonts w:ascii="Arial" w:hAnsi="Arial" w:eastAsia="Arial"/>
          <w:b/>
          <w:color w:val="191919"/>
          <w:sz w:val="31"/>
        </w:rPr>
        <w:t>ТЕХНИЧЕСКОЕ ЗАДАНИЕ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6F6F6F"/>
          <w:sz w:val="21"/>
        </w:rPr>
        <w:t>Неотъемлемая часть Договора № ДОУ-QUAR-200726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1. ЦЕЛЬ И ИТОГОВЫЙ РЕЗУЛЬТАТ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1.1. </w:t>
      </w:r>
      <w:r>
        <w:rPr>
          <w:rFonts w:ascii="Arial" w:hAnsi="Arial" w:eastAsia="Arial"/>
          <w:color w:val="2B2B2B"/>
          <w:sz w:val="21"/>
        </w:rPr>
        <w:t>Исполнитель создает и публикует обновленный публичный сайт QUAR для презентации экосистемы продуктов и услуг двум B2B-аудиториям: международным компаниям, выходящим на рынок РФ, и российским компаниям, выходящим на международные рынки.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1.2. </w:t>
      </w:r>
      <w:r>
        <w:rPr>
          <w:rFonts w:ascii="Arial" w:hAnsi="Arial" w:eastAsia="Arial"/>
          <w:color w:val="2B2B2B"/>
          <w:sz w:val="21"/>
        </w:rPr>
        <w:t>Итогом является живой адаптивный сайт на основном домене Заказчика с русской и английской версиями, рабочими формами, интерфейсами входа и регистрации, базовой аналитикой, технической SEO-подготовкой и настроенными переходами в готовые системы Заказчика.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2. АРХИТЕКТУРА САЙТА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2450"/>
        <w:gridCol w:w="7190"/>
      </w:tblGrid>
      <w:tr>
        <w:trPr>
          <w:cantSplit/>
          <w:tblHeader w:val="true"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Раздел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Состав и назначение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Главная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Экосистема QUAR, два направления роста, преимущества, доказательства и целевые действия.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Решения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Паблишинг; привлечение пользователей; монетизация.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Продукты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Payment SDK; Web Shop; Merchant of Record.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Компания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О компании; контакты; реквизиты.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Доступ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Вход; регистрация; восстановление пароля; переход в готовый кабинет.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Документы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Рекламное предложение; оферта; оплата; политика конфиденциальности; условия использования.</w:t>
            </w:r>
          </w:p>
        </w:tc>
      </w:tr>
      <w:tr>
        <w:trPr>
          <w:cantSplit/>
        </w:trP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4F4F2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Языки</w:t>
            </w:r>
          </w:p>
        </w:tc>
        <w:tc>
          <w:tcPr>
            <w:tcW w:type="dxa" w:w="7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Зеркальная структура RU / EN на материалах, утвержденных Заказчиком.</w:t>
            </w:r>
          </w:p>
        </w:tc>
      </w:tr>
    </w:tbl>
    <w:p>
      <w:pPr>
        <w:spacing w:before="0" w:after="60" w:line="20" w:lineRule="exact"/>
      </w:pP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2.1. </w:t>
      </w:r>
      <w:r>
        <w:rPr>
          <w:rFonts w:ascii="Arial" w:hAnsi="Arial" w:eastAsia="Arial"/>
          <w:color w:val="2B2B2B"/>
          <w:sz w:val="21"/>
        </w:rPr>
        <w:t>Объем включает до 15 маршрутов на каждом языке и до 9 переиспользуемых адаптивных шаблонов. Страницы собираются на единой дизайн-системе.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3. СТРАТЕГИЯ, ПРОТОТИПЫ И ДИЗАЙН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Стартовая встреча, аудит текущего сайта, материалов и референсов.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Уточнение аудиторий, пользовательских маршрутов и карты страниц.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Прототипирование ключевых шаблонов и основных переходов.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Одна визуальная концепция: типографика, цвет, сетка, отступы и базовые правила.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UI-kit: навигация, кнопки, формы, карточки, модальные окна, футер и служебные состояния.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Адаптивные состояния для desktop, tablet и mobile.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До двух консолидированных раундов правок прототипов и до двух раундов правок визуального дизайна.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4. FRONTEND-РАЗРАБОТКА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Адаптивная сборка всех согласованных шаблонов публичного сайта.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Русская и английская версии с единым набором компонентов.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Навигация, переключение языка, модальные окна и формы.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Базовые интерфейсные анимации и состояния элементов.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Кроссбраузерная проверка и базовая оптимизация скорости загрузки.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5. ФОРМЫ И ПОДКЛЮЧЕНИЕ К ГОТОВЫМ СИСТЕМАМ</w:t>
      </w:r>
    </w:p>
    <w:p>
      <w:pPr>
        <w:pStyle w:val="Heading2"/>
      </w:pPr>
      <w:r>
        <w:t>Формы заявок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Единая форма проекта с типом запроса и контекстом страницы.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Контактная форма с согласованным набором полей.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Клиентская валидация, состояния отправки и обработка ошибок.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Чекбокс согласия и ссылки на юридические документы Заказчика.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Базовая защита от автоматического спама.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Передача данных в готовый endpoint, webhook или почтовый обработчик, предоставленный Заказчиком.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Передача UTM-меток и request_type, если готовый обработчик поддерживает эти поля.</w:t>
      </w:r>
    </w:p>
    <w:p>
      <w:pPr>
        <w:pStyle w:val="Heading2"/>
      </w:pPr>
      <w:r>
        <w:t>Вход, регистрация и восстановление пароля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Публичные интерфейсы входа, регистрации и восстановления пароля в стилистике сайта.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Поля, валидация и состояния загрузки, успешной отправки и ошибки.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Подключение или перенаправление в готовый сервис авторизации / кабинет по документации Заказчика.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Кнопка перехода в готовый раздел с подключенными играми и Web Shops.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Сайт не создает отдельное хранилище паролей и учетных записей.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6. АНАЛИТИКА, SEO И ПУБЛИКАЦИЯ</w:t>
      </w:r>
    </w:p>
    <w:p>
      <w:pPr>
        <w:pStyle w:val="Heading2"/>
      </w:pPr>
      <w:r>
        <w:t>Базовая веб-аналитика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Подключение предоставленных счетчиков Яндекс Метрики и/или Google Analytics.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Базовые события: отправка формы, вход, регистрация, клики по контактам и ключевым CTA.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Передача контекста страницы, request_type и UTM-меток в согласованные формы.</w:t>
      </w:r>
    </w:p>
    <w:p>
      <w:pPr>
        <w:pStyle w:val="Heading2"/>
      </w:pPr>
      <w:r>
        <w:t>Техническое SEO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Title, description, Open Graph и canonical для согласованных страниц.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robots.txt, sitemap.xml, favicon и базовая страница 404.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Карта редиректов со старых URL при изменении адресов текущего сайта.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Предпубликационная проверка индексируемости и базовой корректности разметки.</w:t>
      </w:r>
    </w:p>
    <w:p>
      <w:pPr>
        <w:pStyle w:val="Heading2"/>
      </w:pPr>
      <w:r>
        <w:t>Публикация и передача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Размещение согласованной версии на хостинге Заказчика и подключение основного домена при предоставленных доступах.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Проверка форм, ссылок, языковых переходов и основных пользовательских сценариев.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Передача исходного кода, репозитория, макетов, UI-kit и относящихся к проекту доступов.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7. МАТЕРИАЛЫ ЗАКАЗЧИКА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7.1. </w:t>
      </w:r>
      <w:r>
        <w:rPr>
          <w:rFonts w:ascii="Arial" w:hAnsi="Arial" w:eastAsia="Arial"/>
          <w:color w:val="2B2B2B"/>
          <w:sz w:val="21"/>
        </w:rPr>
        <w:t>Заказчик предоставляет: финальные тексты RU, английский перевод, юридические документы и согласия, подтвержденные коммерческие показатели, материалы кейсов, логотипы партнеров, фото и иные медиаматериалы, доступы к домену, хостингу, репозиторию и аналитике.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7.2. </w:t>
      </w:r>
      <w:r>
        <w:rPr>
          <w:rFonts w:ascii="Arial" w:hAnsi="Arial" w:eastAsia="Arial"/>
          <w:color w:val="2B2B2B"/>
          <w:sz w:val="21"/>
        </w:rPr>
        <w:t>Для подключений Заказчик предоставляет готовые endpoints, документацию API, тестовые доступы и контакт технического специалиста. При отсутствии готовой точки подключения Исполнитель реализует корректный интерфейс и согласованный переход, а разработка backend не выполняется.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8. ЧТО НЕ ВХОДИТ В ОБЪЕМ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Личный кабинет, его внутренние экраны, база данных и административная панель.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Backend регистрации и авторизации, хранение учетных данных и управление пользователями.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Разработка, настройка, интеграция и сопровождение CRM или календаря встреч.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Сложная интеграционная логика без готового документированного API.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Полный копирайтинг, профессиональный перевод и юридическая редактура документов.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Ребрендинг, новый логотип, фото-, видео-, 3D-производство и разработка отдельных Web Shops.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Система управления контентом (CMS), если она не согласована отдельным соглашением.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Стоимость домена, хостинга, лицензий, подписок и платных сервисов третьих лиц.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9. КРИТЕРИИ ПРИЕМКИ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Все согласованные маршруты открываются и корректно отображаются на актуальных версиях Chrome, Safari, Firefox и Edge.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Адаптивные состояния основных шаблонов работают на desktop, tablet и mobile без критических наложений и обрезки контента.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Переключение RU / EN, внутренняя навигация, ссылки, формы и служебные состояния работают по согласованным сценариям.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Формы передают данные в предоставленную Заказчиком готовую точку приема либо, при ее отсутствии, реализованы как согласованный интерфейс без backend.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Кнопки входа, регистрации, восстановления пароля и перехода в кабинет направляют пользователя в предоставленные Заказчиком готовые сервисы.</w:t>
      </w:r>
    </w:p>
    <w:p>
      <w:pPr>
        <w:spacing w:after="60" w:line="276" w:lineRule="auto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Сайт опубликован на основном домене, а исходный код и согласованные доступы переданы Заказчику.</w:t>
      </w:r>
    </w:p>
    <w:p>
      <w:pPr>
        <w:pStyle w:val="Heading2"/>
      </w:pPr>
      <w:r>
        <w:t>Подписи Сторон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4820"/>
        <w:gridCol w:w="4820"/>
      </w:tblGrid>
      <w:tr>
        <w:trPr>
          <w:cantSplit/>
          <w:tblHeader w:val="true"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ЗАКАЗЧИК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ООО «ЮНФ СОПРОВОЖДЕНИЕ»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ИП Бренейзе Алексей Васильевич</w:t>
            </w:r>
          </w:p>
        </w:tc>
      </w:tr>
      <w:tr>
        <w:trPr>
          <w:cantSplit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________________ / ________________ /</w:t>
              <w:br/>
              <w:t>М.П. (при наличии)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________________ / А.В. Бренейзе /</w:t>
              <w:br/>
              <w:t>М.П. (при наличии)</w:t>
            </w:r>
          </w:p>
        </w:tc>
      </w:tr>
    </w:tbl>
    <w:p>
      <w:pPr>
        <w:spacing w:before="0" w:after="60" w:line="20" w:lineRule="exact"/>
      </w:pPr>
    </w:p>
    <w:p>
      <w:pPr>
        <w:pageBreakBefore/>
        <w:spacing w:after="200"/>
        <w:jc w:val="right"/>
      </w:pPr>
      <w:r>
        <w:rPr>
          <w:rFonts w:ascii="Arial" w:hAnsi="Arial" w:eastAsia="Arial"/>
          <w:color w:val="6F6F6F"/>
          <w:sz w:val="18"/>
        </w:rPr>
        <w:t>Приложение № 2</w:t>
        <w:br/>
        <w:t>к Договору № ДОУ-QUAR-200726</w:t>
        <w:br/>
        <w:t>от 20 июля 2026 г.</w:t>
      </w:r>
    </w:p>
    <w:p>
      <w:pPr>
        <w:spacing w:before="140" w:after="60"/>
        <w:jc w:val="center"/>
      </w:pPr>
      <w:r>
        <w:rPr>
          <w:rFonts w:ascii="Arial" w:hAnsi="Arial" w:eastAsia="Arial"/>
          <w:b/>
          <w:color w:val="191919"/>
          <w:sz w:val="31"/>
        </w:rPr>
        <w:t>КАЛЕНДАРНЫЙ ПЛАН И СТОИМОСТЬ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6F6F6F"/>
          <w:sz w:val="21"/>
        </w:rPr>
        <w:t>Неотъемлемая часть Договора № ДОУ-QUAR-200726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1. КАЛЕНДАРНЫЙ ПЛАН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1600"/>
        <w:gridCol w:w="2850"/>
        <w:gridCol w:w="5190"/>
      </w:tblGrid>
      <w:tr>
        <w:trPr>
          <w:cantSplit/>
          <w:tblHeader w:val="true"/>
        </w:trPr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Период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Этап</w:t>
            </w:r>
          </w:p>
        </w:tc>
        <w:tc>
          <w:tcPr>
            <w:tcW w:type="dxa" w:w="5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Неделя 1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Архитектура и прототипы</w:t>
            </w:r>
          </w:p>
        </w:tc>
        <w:tc>
          <w:tcPr>
            <w:tcW w:type="dxa" w:w="5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Аудит, карта страниц, сценарии, прототипы, фиксация интеграционного контура.</w:t>
            </w:r>
          </w:p>
        </w:tc>
      </w:tr>
      <w:tr>
        <w:trPr>
          <w:cantSplit/>
        </w:trPr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Неделя 2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Визуальная концепция</w:t>
            </w:r>
          </w:p>
        </w:tc>
        <w:tc>
          <w:tcPr>
            <w:tcW w:type="dxa" w:w="5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Ключевые шаблоны, UI-kit и адаптивная дизайн-система.</w:t>
            </w:r>
          </w:p>
        </w:tc>
      </w:tr>
      <w:tr>
        <w:trPr>
          <w:cantSplit/>
        </w:trPr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Неделя 3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Разработка</w:t>
            </w:r>
          </w:p>
        </w:tc>
        <w:tc>
          <w:tcPr>
            <w:tcW w:type="dxa" w:w="5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Сборка шаблонов, RU / EN контур, формы и интерфейсы доступа.</w:t>
            </w:r>
          </w:p>
        </w:tc>
      </w:tr>
      <w:tr>
        <w:trPr>
          <w:cantSplit/>
        </w:trPr>
        <w:tc>
          <w:tcPr>
            <w:tcW w:type="dxa" w:w="1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Неделя 4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Подключения и запуск</w:t>
            </w:r>
          </w:p>
        </w:tc>
        <w:tc>
          <w:tcPr>
            <w:tcW w:type="dxa" w:w="519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Контент, аналитика, SEO, тестирование, приемка и публикация.</w:t>
            </w:r>
          </w:p>
        </w:tc>
      </w:tr>
    </w:tbl>
    <w:p>
      <w:pPr>
        <w:spacing w:before="0" w:after="60" w:line="20" w:lineRule="exact"/>
      </w:pP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1.1. </w:t>
      </w:r>
      <w:r>
        <w:rPr>
          <w:rFonts w:ascii="Arial" w:hAnsi="Arial" w:eastAsia="Arial"/>
          <w:color w:val="2B2B2B"/>
          <w:sz w:val="21"/>
        </w:rPr>
        <w:t>Плановый общий срок — 20–25 рабочих дней при соблюдении Заказчиком сроков предоставления материалов, доступов, технической информации и согласований.</w:t>
      </w:r>
    </w:p>
    <w:p>
      <w:pPr>
        <w:pStyle w:val="ContractClause"/>
        <w:keepLines w:val="0"/>
      </w:pPr>
      <w:r>
        <w:rPr>
          <w:rFonts w:ascii="Arial" w:hAnsi="Arial" w:eastAsia="Arial"/>
          <w:b/>
          <w:color w:val="191919"/>
          <w:sz w:val="21"/>
        </w:rPr>
        <w:t xml:space="preserve">1.2. </w:t>
      </w:r>
      <w:r>
        <w:rPr>
          <w:rFonts w:ascii="Arial" w:hAnsi="Arial" w:eastAsia="Arial"/>
          <w:color w:val="2B2B2B"/>
          <w:sz w:val="21"/>
        </w:rPr>
        <w:t>Конкретные даты этапов фиксируются Сторонами в рабочей переписке после выполнения условий пункта 2.1 Договора.</w:t>
      </w: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2. СТОИМОСТЬ ПО ЭТАПАМ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7200"/>
        <w:gridCol w:w="2440"/>
      </w:tblGrid>
      <w:tr>
        <w:trPr>
          <w:cantSplit/>
          <w:tblHeader w:val="true"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Этап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Стоимость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Аудит, архитектура и прототипы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25 000 ₽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Визуальная концепция и UI-kit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30 000 ₽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Адаптивный дизайн всех шаблонов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30 000 ₽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Frontend-разработка RU / EN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45 000 ₽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Формы, подключения, тестирование и публикация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20 000 ₽</w:t>
            </w:r>
          </w:p>
        </w:tc>
      </w:tr>
      <w:tr>
        <w:trPr>
          <w:cantSplit/>
        </w:trPr>
        <w:tc>
          <w:tcPr>
            <w:tcW w:type="dxa" w:w="7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FF0E6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ИТОГО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FF0E6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150 000 ₽</w:t>
            </w:r>
          </w:p>
        </w:tc>
      </w:tr>
    </w:tbl>
    <w:p>
      <w:pPr>
        <w:spacing w:before="0" w:after="60" w:line="20" w:lineRule="exact"/>
      </w:pPr>
    </w:p>
    <w:p>
      <w:pPr>
        <w:pStyle w:val="Heading1"/>
        <w:keepNext/>
        <w:jc w:val="left"/>
        <w:pBdr>
          <w:bottom w:val="single" w:sz="9" w:space="5" w:color="FF6A00"/>
        </w:pBdr>
      </w:pPr>
      <w:r>
        <w:rPr>
          <w:rFonts w:ascii="Arial" w:hAnsi="Arial" w:eastAsia="Arial"/>
          <w:b/>
          <w:color w:val="191919"/>
          <w:sz w:val="27"/>
        </w:rPr>
        <w:t>3. ГРАФИК ПЛАТЕЖЕЙ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1450"/>
        <w:gridCol w:w="5750"/>
        <w:gridCol w:w="2440"/>
      </w:tblGrid>
      <w:tr>
        <w:trPr>
          <w:cantSplit/>
          <w:tblHeader w:val="true"/>
        </w:trPr>
        <w:tc>
          <w:tcPr>
            <w:tcW w:type="dxa" w:w="1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Платеж</w:t>
            </w:r>
          </w:p>
        </w:tc>
        <w:tc>
          <w:tcPr>
            <w:tcW w:type="dxa" w:w="57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Основание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50%</w:t>
            </w:r>
          </w:p>
        </w:tc>
        <w:tc>
          <w:tcPr>
            <w:tcW w:type="dxa" w:w="57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После подписания Договора, до начала работ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75 000 ₽</w:t>
            </w:r>
          </w:p>
        </w:tc>
      </w:tr>
      <w:tr>
        <w:trPr>
          <w:cantSplit/>
        </w:trPr>
        <w:tc>
          <w:tcPr>
            <w:tcW w:type="dxa" w:w="1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30%</w:t>
            </w:r>
          </w:p>
        </w:tc>
        <w:tc>
          <w:tcPr>
            <w:tcW w:type="dxa" w:w="57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После утверждения ключевого визуального дизайна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45 000 ₽</w:t>
            </w:r>
          </w:p>
        </w:tc>
      </w:tr>
      <w:tr>
        <w:trPr>
          <w:cantSplit/>
        </w:trPr>
        <w:tc>
          <w:tcPr>
            <w:tcW w:type="dxa" w:w="1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20%</w:t>
            </w:r>
          </w:p>
        </w:tc>
        <w:tc>
          <w:tcPr>
            <w:tcW w:type="dxa" w:w="57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После приемки тестовой версии, до публикации</w:t>
            </w:r>
          </w:p>
        </w:tc>
        <w:tc>
          <w:tcPr>
            <w:tcW w:type="dxa" w:w="24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 w:eastAsia="Arial"/>
                <w:b w:val="0"/>
                <w:color w:val="2B2B2B"/>
                <w:sz w:val="18"/>
              </w:rPr>
              <w:t>30 000 ₽</w:t>
            </w:r>
          </w:p>
        </w:tc>
      </w:tr>
    </w:tbl>
    <w:p>
      <w:pPr>
        <w:spacing w:before="0" w:after="60" w:line="20" w:lineRule="exact"/>
      </w:pP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6A00"/>
          <w:left w:val="single" w:sz="8" w:space="0" w:color="FF6A00"/>
          <w:bottom w:val="single" w:sz="8" w:space="0" w:color="FF6A00"/>
          <w:right w:val="single" w:sz="8" w:space="0" w:color="FF6A00"/>
          <w:insideH w:val="single" w:sz="8" w:space="0" w:color="FF6A00"/>
          <w:insideV w:val="single" w:sz="8" w:space="0" w:color="FF6A00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shd w:fill="FFF0E6"/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FF6A00"/>
                <w:sz w:val="17"/>
              </w:rPr>
              <w:t>УСЛОВИЕ СРОКА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color w:val="191919"/>
                <w:sz w:val="28"/>
              </w:rPr>
              <w:t>Срок начинается после готовности проекта к старту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Необходимы аванс, полный стартовый пакет материалов, доступы и подтверждение Заказчика. Задержки согласований и готовых интеграционных точек сдвигают календарный план по правилам Договора.</w:t>
            </w:r>
          </w:p>
        </w:tc>
      </w:tr>
    </w:tbl>
    <w:p>
      <w:pPr>
        <w:spacing w:before="0" w:after="60" w:line="20" w:lineRule="exact"/>
      </w:pPr>
    </w:p>
    <w:p>
      <w:pPr>
        <w:pStyle w:val="Heading2"/>
      </w:pPr>
      <w:r>
        <w:t>Подписи Сторон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7D3"/>
          <w:left w:val="single" w:sz="6" w:space="0" w:color="D7D7D3"/>
          <w:bottom w:val="single" w:sz="6" w:space="0" w:color="D7D7D3"/>
          <w:right w:val="single" w:sz="6" w:space="0" w:color="D7D7D3"/>
          <w:insideH w:val="single" w:sz="6" w:space="0" w:color="D7D7D3"/>
          <w:insideV w:val="single" w:sz="6" w:space="0" w:color="D7D7D3"/>
        </w:tblBorders>
      </w:tblPr>
      <w:tblGrid>
        <w:gridCol w:w="4820"/>
        <w:gridCol w:w="4820"/>
      </w:tblGrid>
      <w:tr>
        <w:trPr>
          <w:cantSplit/>
          <w:tblHeader w:val="true"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ЗАКАЗЧИК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19191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/>
                <w:color w:val="2B2B2B"/>
                <w:sz w:val="19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ООО «ЮНФ СОПРОВОЖДЕНИЕ»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ИП Бренейзе Алексей Васильевич</w:t>
            </w:r>
          </w:p>
        </w:tc>
      </w:tr>
      <w:tr>
        <w:trPr>
          <w:cantSplit/>
        </w:trPr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________________ / ________________ /</w:t>
              <w:br/>
              <w:t>М.П. (при наличии)</w:t>
            </w:r>
          </w:p>
        </w:tc>
        <w:tc>
          <w:tcPr>
            <w:tcW w:type="dxa" w:w="482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AFAF9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 w:eastAsia="Arial"/>
                <w:b w:val="0"/>
                <w:color w:val="2B2B2B"/>
                <w:sz w:val="19"/>
              </w:rPr>
              <w:t>________________ / А.В. Бренейзе /</w:t>
              <w:br/>
              <w:t>М.П. (при наличии)</w:t>
            </w:r>
          </w:p>
        </w:tc>
      </w:tr>
    </w:tbl>
    <w:p>
      <w:pPr>
        <w:spacing w:before="0" w:after="6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992" w:left="116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color w:val="6F6F6F"/>
        <w:sz w:val="16"/>
      </w:rPr>
      <w:t xml:space="preserve">ДОУ-QUAR-200726  ·  стр. </w:t>
    </w:r>
    <w:r>
      <w:rPr>
        <w:rFonts w:ascii="Arial" w:hAnsi="Arial" w:eastAsia="Arial"/>
        <w:color w:val="6F6F6F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098000" cy="36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diterr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8000" cy="36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/>
        <w:color w:val="6F6F6F"/>
        <w:sz w:val="16"/>
      </w:rPr>
      <w:t xml:space="preserve">   ДОГОВОР ОКАЗАНИЯ УСЛУГ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6A710D14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color w:val="FF6A00"/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  <w:jc w:val="both"/>
    </w:pPr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FF6A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80"/>
    </w:pPr>
    <w:rPr>
      <w:rFonts w:ascii="Arial" w:hAnsi="Arial"/>
      <w:b/>
      <w:color w:val="FF6A00"/>
      <w:sz w:val="17"/>
    </w:rPr>
  </w:style>
  <w:style w:type="paragraph" w:customStyle="1" w:styleId="Small">
    <w:name w:val="Small"/>
    <w:pPr>
      <w:spacing w:after="80" w:line="276" w:lineRule="auto"/>
    </w:pPr>
    <w:rPr>
      <w:rFonts w:ascii="Arial" w:hAnsi="Arial"/>
      <w:color w:val="6F6F6F"/>
      <w:sz w:val="17"/>
    </w:rPr>
  </w:style>
  <w:style w:type="paragraph" w:customStyle="1" w:styleId="ContractClause">
    <w:name w:val="Contract Clause"/>
    <w:pPr>
      <w:spacing w:after="100" w:line="269" w:lineRule="auto"/>
      <w:ind w:left="442" w:hanging="442"/>
      <w:jc w:val="both"/>
    </w:pPr>
    <w:rPr>
      <w:rFonts w:ascii="Arial" w:hAnsi="Arial"/>
      <w:color w:val="2B2B2B"/>
      <w:sz w:val="21"/>
    </w:rPr>
  </w:style>
  <w:style w:type="paragraph" w:customStyle="1" w:styleId="ContractNote">
    <w:name w:val="Contract Note"/>
    <w:pPr>
      <w:spacing w:after="80" w:line="252" w:lineRule="auto"/>
    </w:pPr>
    <w:rPr>
      <w:rFonts w:ascii="Arial" w:hAnsi="Arial"/>
      <w:color w:val="6F6F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 по дизайну и разработке сайта QUAR</dc:title>
  <dc:subject>Публичный сайт QUAR — 150 000 рублей</dc:subject>
  <dc:creator>ИП Бренейзе Алексей Васильевич</dc:creator>
  <cp:keywords>QUAR, договор оказания услуг, разработка сайта, Auditerra</cp:keywords>
  <dc:description>Подготовлено для ООО «ЮНФ СОПРОВОЖДЕНИЕ»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