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line="360"/>
        <w:jc w:val="center"/>
      </w:pPr>
      <w:r>
        <w:rPr>
          <w:rFonts w:ascii="Times New Roman" w:cs="Times New Roman" w:eastAsia="Times New Roman" w:hAnsi="Times New Roman"/>
          <w:b/>
          <w:bCs/>
          <w:sz w:val="34"/>
          <w:szCs w:val="34"/>
        </w:rPr>
        <w:t xml:space="preserve">POST-QUANTUM SECURE VEHICLE-TO-VEHICLE</w:t>
      </w:r>
    </w:p>
    <w:p>
      <w:pPr>
        <w:spacing w:after="260" w:line="360"/>
        <w:jc w:val="center"/>
      </w:pPr>
      <w:r>
        <w:rPr>
          <w:rFonts w:ascii="Times New Roman" w:cs="Times New Roman" w:eastAsia="Times New Roman" w:hAnsi="Times New Roman"/>
          <w:b/>
          <w:bCs/>
          <w:sz w:val="34"/>
          <w:szCs w:val="34"/>
        </w:rPr>
        <w:t xml:space="preserve">PLATOON COMMUNICATION SYSTEM</w:t>
      </w:r>
    </w:p>
    <w:p>
      <w:r>
        <w:t xml:space="preserve"/>
      </w:r>
    </w:p>
    <w:p>
      <w:pPr>
        <w:spacing w:after="300"/>
        <w:jc w:val="center"/>
      </w:pPr>
      <w:r>
        <w:rPr>
          <w:rFonts w:ascii="Times New Roman" w:cs="Times New Roman" w:eastAsia="Times New Roman" w:hAnsi="Times New Roman"/>
          <w:b/>
          <w:bCs/>
          <w:sz w:val="28"/>
          <w:szCs w:val="28"/>
        </w:rPr>
        <w:t xml:space="preserve">A PROJECT REPORT</w:t>
      </w:r>
    </w:p>
    <w:p>
      <w:r>
        <w:t xml:space="preserve"/>
      </w:r>
    </w:p>
    <w:p>
      <w:pPr>
        <w:spacing w:after="220"/>
        <w:jc w:val="center"/>
      </w:pPr>
      <w:r>
        <w:rPr>
          <w:rFonts w:ascii="Times New Roman" w:cs="Times New Roman" w:eastAsia="Times New Roman" w:hAnsi="Times New Roman"/>
          <w:i/>
          <w:iCs/>
          <w:sz w:val="28"/>
          <w:szCs w:val="28"/>
        </w:rPr>
        <w:t xml:space="preserve">Submitted by</w:t>
      </w:r>
    </w:p>
    <w:p>
      <w:r>
        <w:t xml:space="preserve"/>
      </w:r>
    </w:p>
    <w:p>
      <w:pPr>
        <w:spacing w:after="80"/>
        <w:jc w:val="center"/>
      </w:pPr>
      <w:r>
        <w:rPr>
          <w:rFonts w:ascii="Times New Roman" w:cs="Times New Roman" w:eastAsia="Times New Roman" w:hAnsi="Times New Roman"/>
          <w:b/>
          <w:bCs/>
          <w:sz w:val="28"/>
          <w:szCs w:val="28"/>
        </w:rPr>
        <w:t xml:space="preserve">[NAME OF CANDIDATE 1]  (Reg. No. ____________)</w:t>
      </w:r>
    </w:p>
    <w:p>
      <w:pPr>
        <w:spacing w:after="80"/>
        <w:jc w:val="center"/>
      </w:pPr>
      <w:r>
        <w:rPr>
          <w:rFonts w:ascii="Times New Roman" w:cs="Times New Roman" w:eastAsia="Times New Roman" w:hAnsi="Times New Roman"/>
          <w:b/>
          <w:bCs/>
          <w:sz w:val="28"/>
          <w:szCs w:val="28"/>
        </w:rPr>
        <w:t xml:space="preserve">[NAME OF CANDIDATE 2]  (Reg. No. ____________)</w:t>
      </w:r>
    </w:p>
    <w:p>
      <w:pPr>
        <w:spacing w:after="260"/>
        <w:jc w:val="center"/>
      </w:pPr>
      <w:r>
        <w:rPr>
          <w:rFonts w:ascii="Times New Roman" w:cs="Times New Roman" w:eastAsia="Times New Roman" w:hAnsi="Times New Roman"/>
          <w:b/>
          <w:bCs/>
          <w:sz w:val="28"/>
          <w:szCs w:val="28"/>
        </w:rPr>
        <w:t xml:space="preserve">[NAME OF CANDIDATE 3]  (Reg. No. ____________)</w:t>
      </w:r>
    </w:p>
    <w:p>
      <w:r>
        <w:t xml:space="preserve"/>
      </w:r>
    </w:p>
    <w:p>
      <w:pPr>
        <w:spacing w:after="160"/>
        <w:jc w:val="center"/>
      </w:pPr>
      <w:r>
        <w:rPr>
          <w:rFonts w:ascii="Times New Roman" w:cs="Times New Roman" w:eastAsia="Times New Roman" w:hAnsi="Times New Roman"/>
          <w:i/>
          <w:iCs/>
          <w:sz w:val="28"/>
          <w:szCs w:val="28"/>
        </w:rPr>
        <w:t xml:space="preserve">in partial fulfilment for the award of the degree of</w:t>
      </w:r>
    </w:p>
    <w:p>
      <w:pPr>
        <w:spacing w:after="100"/>
        <w:jc w:val="center"/>
      </w:pPr>
      <w:r>
        <w:rPr>
          <w:rFonts w:ascii="Times New Roman" w:cs="Times New Roman" w:eastAsia="Times New Roman" w:hAnsi="Times New Roman"/>
          <w:b/>
          <w:bCs/>
          <w:sz w:val="30"/>
          <w:szCs w:val="30"/>
        </w:rPr>
        <w:t xml:space="preserve">BACHELOR OF ENGINEERING</w:t>
      </w:r>
    </w:p>
    <w:p>
      <w:pPr>
        <w:spacing w:after="100"/>
        <w:jc w:val="center"/>
      </w:pPr>
      <w:r>
        <w:rPr>
          <w:rFonts w:ascii="Times New Roman" w:cs="Times New Roman" w:eastAsia="Times New Roman" w:hAnsi="Times New Roman"/>
          <w:i/>
          <w:iCs/>
          <w:sz w:val="26"/>
          <w:szCs w:val="26"/>
        </w:rPr>
        <w:t xml:space="preserve">in</w:t>
      </w:r>
    </w:p>
    <w:p>
      <w:pPr>
        <w:spacing w:after="300"/>
        <w:jc w:val="center"/>
      </w:pPr>
      <w:r>
        <w:rPr>
          <w:rFonts w:ascii="Times New Roman" w:cs="Times New Roman" w:eastAsia="Times New Roman" w:hAnsi="Times New Roman"/>
          <w:b/>
          <w:bCs/>
          <w:sz w:val="28"/>
          <w:szCs w:val="28"/>
        </w:rPr>
        <w:t xml:space="preserve">COMPUTER SCIENCE AND ENGINEERING (ARTIFICIAL INTELLIGENCE AND MACHINE LEARNING)</w:t>
      </w:r>
    </w:p>
    <w:p>
      <w:r>
        <w:t xml:space="preserve"/>
      </w:r>
    </w:p>
    <w:p>
      <w:pPr>
        <w:spacing w:after="120"/>
        <w:jc w:val="center"/>
      </w:pPr>
      <w:r>
        <w:drawing>
          <wp:inline distT="0" distB="0" distL="0" distR="0">
            <wp:extent cx="685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66750"/>
                    </a:xfrm>
                    <a:prstGeom prst="rect">
                      <a:avLst/>
                    </a:prstGeom>
                  </pic:spPr>
                </pic:pic>
              </a:graphicData>
            </a:graphic>
          </wp:inline>
        </w:drawing>
      </w:r>
    </w:p>
    <w:p>
      <w:pPr>
        <w:spacing w:after="40"/>
        <w:jc w:val="center"/>
      </w:pPr>
      <w:r>
        <w:rPr>
          <w:rFonts w:ascii="Times New Roman" w:cs="Times New Roman" w:eastAsia="Times New Roman" w:hAnsi="Times New Roman"/>
          <w:b/>
          <w:bCs/>
          <w:sz w:val="30"/>
          <w:szCs w:val="30"/>
        </w:rPr>
        <w:t xml:space="preserve">SRI KRISHNA COLLEGE OF TECHNOLOGY</w:t>
      </w:r>
    </w:p>
    <w:p>
      <w:pPr>
        <w:spacing w:after="20"/>
        <w:jc w:val="center"/>
      </w:pPr>
      <w:r>
        <w:rPr>
          <w:rFonts w:ascii="Times New Roman" w:cs="Times New Roman" w:eastAsia="Times New Roman" w:hAnsi="Times New Roman"/>
          <w:sz w:val="24"/>
          <w:szCs w:val="24"/>
        </w:rPr>
        <w:t xml:space="preserve">(An Autonomous Institution)</w:t>
      </w:r>
    </w:p>
    <w:p>
      <w:pPr>
        <w:spacing w:after="20"/>
        <w:jc w:val="center"/>
      </w:pPr>
      <w:r>
        <w:rPr>
          <w:rFonts w:ascii="Times New Roman" w:cs="Times New Roman" w:eastAsia="Times New Roman" w:hAnsi="Times New Roman"/>
          <w:sz w:val="24"/>
          <w:szCs w:val="24"/>
        </w:rPr>
        <w:t xml:space="preserve">Affiliated to Anna University and Approved by AICTE</w:t>
      </w:r>
    </w:p>
    <w:p>
      <w:pPr>
        <w:spacing w:after="200"/>
        <w:jc w:val="center"/>
      </w:pPr>
      <w:r>
        <w:rPr>
          <w:rFonts w:ascii="Times New Roman" w:cs="Times New Roman" w:eastAsia="Times New Roman" w:hAnsi="Times New Roman"/>
          <w:sz w:val="24"/>
          <w:szCs w:val="24"/>
        </w:rPr>
        <w:t xml:space="preserve">Coimbatore – 641 042</w:t>
      </w:r>
    </w:p>
    <w:p>
      <w:pPr>
        <w:spacing w:after="160"/>
        <w:jc w:val="center"/>
      </w:pPr>
      <w:r>
        <w:rPr>
          <w:rFonts w:ascii="Times New Roman" w:cs="Times New Roman" w:eastAsia="Times New Roman" w:hAnsi="Times New Roman"/>
          <w:b/>
          <w:bCs/>
          <w:sz w:val="28"/>
          <w:szCs w:val="28"/>
        </w:rPr>
        <w:t xml:space="preserve">ANNA UNIVERSITY :: CHENNAI 600 025</w:t>
      </w:r>
    </w:p>
    <w:p>
      <w:pPr>
        <w:spacing w:after="160" w:line="360" w:lineRule="auto"/>
        <w:jc w:val="center"/>
      </w:pPr>
      <w:r>
        <w:rPr>
          <w:rFonts w:ascii="Times New Roman" w:cs="Times New Roman" w:eastAsia="Times New Roman" w:hAnsi="Times New Roman"/>
          <w:b/>
          <w:bCs/>
          <w:sz w:val="26"/>
          <w:szCs w:val="26"/>
        </w:rPr>
        <w:t xml:space="preserve">[MONTH] 2026</w:t>
      </w:r>
    </w:p>
    <w:p>
      <w:pPr>
        <w:sectPr>
          <w:pgSz w:w="11906" w:h="16838" w:orient="portrait"/>
          <w:pgMar w:top="1440" w:right="1440" w:bottom="1440" w:left="1440" w:header="708" w:footer="708" w:gutter="0"/>
          <w:pgNumType/>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200"/>
      </w:tblGrid>
      <w:tr>
        <w:tc>
          <w:tcPr>
            <w:tcW w:type="dxa" w:w="1100"/>
            <w:tcBorders>
              <w:top w:val="none" w:color="FFFFFF" w:sz="0"/>
              <w:left w:val="none" w:color="FFFFFF" w:sz="0"/>
              <w:bottom w:val="none" w:color="FFFFFF" w:sz="0"/>
              <w:right w:val="none" w:color="FFFFFF" w:sz="0"/>
            </w:tcBorders>
            <w:vAlign w:val="center"/>
          </w:tcPr>
          <w:p>
            <w:pPr>
              <w:jc w:val="center"/>
            </w:pPr>
            <w:r>
              <w:drawing>
                <wp:inline distT="0" distB="0" distL="0" distR="0">
                  <wp:extent cx="533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495300"/>
                          </a:xfrm>
                          <a:prstGeom prst="rect">
                            <a:avLst/>
                          </a:prstGeom>
                        </pic:spPr>
                      </pic:pic>
                    </a:graphicData>
                  </a:graphic>
                </wp:inline>
              </w:drawing>
            </w:r>
          </w:p>
        </w:tc>
        <w:tc>
          <w:tcPr>
            <w:tcW w:type="dxa" w:w="5700"/>
            <w:tcBorders>
              <w:top w:val="none" w:color="FFFFFF" w:sz="0"/>
              <w:left w:val="none" w:color="FFFFFF" w:sz="0"/>
              <w:bottom w:val="none" w:color="FFFFFF" w:sz="0"/>
              <w:right w:val="none" w:color="FFFFFF" w:sz="0"/>
            </w:tcBorders>
            <w:vAlign w:val="center"/>
          </w:tcPr>
          <w:p>
            <w:pPr>
              <w:spacing w:after="20"/>
              <w:jc w:val="left"/>
            </w:pPr>
            <w:r>
              <w:rPr>
                <w:rFonts w:ascii="Times New Roman" w:cs="Times New Roman" w:eastAsia="Times New Roman" w:hAnsi="Times New Roman"/>
                <w:b/>
                <w:bCs/>
                <w:sz w:val="23"/>
                <w:szCs w:val="23"/>
              </w:rPr>
              <w:t xml:space="preserve">SRI KRISHNA COLLEGE OF TECHNOLOGY</w:t>
            </w:r>
          </w:p>
          <w:p>
            <w:pPr>
              <w:spacing w:after="10"/>
              <w:jc w:val="left"/>
            </w:pPr>
            <w:r>
              <w:rPr>
                <w:rFonts w:ascii="Times New Roman" w:cs="Times New Roman" w:eastAsia="Times New Roman" w:hAnsi="Times New Roman"/>
                <w:sz w:val="19"/>
                <w:szCs w:val="19"/>
              </w:rPr>
              <w:t xml:space="preserve">(An Autonomous Institution)</w:t>
            </w:r>
          </w:p>
          <w:p>
            <w:pPr>
              <w:spacing w:after="10"/>
              <w:jc w:val="left"/>
            </w:pPr>
            <w:r>
              <w:rPr>
                <w:rFonts w:ascii="Times New Roman" w:cs="Times New Roman" w:eastAsia="Times New Roman" w:hAnsi="Times New Roman"/>
                <w:sz w:val="19"/>
                <w:szCs w:val="19"/>
              </w:rPr>
              <w:t xml:space="preserve">Affiliated to Anna University and Approved by AICTE</w:t>
            </w:r>
          </w:p>
          <w:p>
            <w:pPr>
              <w:spacing w:after="0"/>
              <w:jc w:val="left"/>
            </w:pPr>
            <w:r>
              <w:rPr>
                <w:rFonts w:ascii="Times New Roman" w:cs="Times New Roman" w:eastAsia="Times New Roman" w:hAnsi="Times New Roman"/>
                <w:sz w:val="19"/>
                <w:szCs w:val="19"/>
              </w:rPr>
              <w:t xml:space="preserve">KOVAIPUDUR, COIMBATORE – 641 042</w:t>
            </w:r>
          </w:p>
        </w:tc>
        <w:tc>
          <w:tcPr>
            <w:tcW w:type="dxa" w:w="2200"/>
            <w:tcBorders>
              <w:top w:val="none" w:color="FFFFFF" w:sz="0"/>
              <w:left w:val="none" w:color="FFFFFF" w:sz="0"/>
              <w:bottom w:val="none" w:color="FFFFFF" w:sz="0"/>
              <w:right w:val="none" w:color="FFFFFF" w:sz="0"/>
            </w:tcBorders>
            <w:vAlign w:val="center"/>
          </w:tcPr>
          <w:p>
            <w:pPr>
              <w:jc w:val="center"/>
            </w:pPr>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228600"/>
                          </a:xfrm>
                          <a:prstGeom prst="rect">
                            <a:avLst/>
                          </a:prstGeom>
                        </pic:spPr>
                      </pic:pic>
                    </a:graphicData>
                  </a:graphic>
                </wp:inline>
              </w:drawing>
            </w:r>
          </w:p>
        </w:tc>
      </w:tr>
    </w:tbl>
    <w:p>
      <w:r>
        <w:t xml:space="preserve"/>
      </w:r>
    </w:p>
    <w:p>
      <w:pPr>
        <w:spacing w:after="320"/>
        <w:jc w:val="center"/>
      </w:pPr>
      <w:r>
        <w:rPr>
          <w:rFonts w:ascii="Times New Roman" w:cs="Times New Roman" w:eastAsia="Times New Roman" w:hAnsi="Times New Roman"/>
          <w:b/>
          <w:bCs/>
          <w:sz w:val="30"/>
          <w:szCs w:val="30"/>
        </w:rPr>
        <w:t xml:space="preserve">BONAFIDE CERTIFICATE</w:t>
      </w:r>
    </w:p>
    <w:p>
      <w:pPr>
        <w:spacing w:after="200" w:line="480" w:lineRule="auto"/>
        <w:jc w:val="both"/>
      </w:pPr>
      <w:r>
        <w:rPr>
          <w:rFonts w:ascii="Times New Roman" w:cs="Times New Roman" w:eastAsia="Times New Roman" w:hAnsi="Times New Roman"/>
          <w:sz w:val="28"/>
          <w:szCs w:val="28"/>
        </w:rPr>
        <w:t xml:space="preserve">Certified that this project report “POST-QUANTUM SECURE VEHICLE-TO-VEHICLE PLATOON COMMUNICATION SYSTEM” is the bonafide work of “[NAME OF CANDIDATE 1], [NAME OF CANDIDATE 2] and [NAME OF CANDIDATE 3]” who carried out the project work under my supervision.</w:t>
      </w:r>
    </w:p>
    <w:p>
      <w:pPr>
        <w:spacing w:after="200" w:line="480" w:lineRule="auto"/>
        <w:jc w:val="both"/>
      </w:pPr>
      <w:r>
        <w:rPr>
          <w:rFonts w:ascii="Times New Roman" w:cs="Times New Roman" w:eastAsia="Times New Roman" w:hAnsi="Times New Roman"/>
          <w:sz w:val="28"/>
          <w:szCs w:val="28"/>
        </w:rPr>
        <w:t xml:space="preserve">Submitted for the Project Viva-Voce Examination held on ________________.</w:t>
      </w:r>
    </w:p>
    <w:p>
      <w:r>
        <w:t xml:space="preserve"/>
      </w:r>
    </w:p>
    <w:p>
      <w:r>
        <w:t xml:space="preserve"/>
      </w:r>
    </w:p>
    <w:p>
      <w:pPr>
        <w:tabs>
          <w:tab w:val="right" w:pos="9072"/>
        </w:tabs>
        <w:spacing w:after="60" w:line="480" w:lineRule="auto"/>
      </w:pPr>
      <w:r>
        <w:rPr>
          <w:rFonts w:ascii="Times New Roman" w:cs="Times New Roman" w:eastAsia="Times New Roman" w:hAnsi="Times New Roman"/>
          <w:b/>
          <w:bCs/>
          <w:sz w:val="28"/>
          <w:szCs w:val="28"/>
        </w:rPr>
        <w:t xml:space="preserve">SUPERVISOR</w:t>
      </w:r>
      <w:r>
        <w:rPr>
          <w:rFonts w:ascii="Times New Roman" w:cs="Times New Roman" w:eastAsia="Times New Roman" w:hAnsi="Times New Roman"/>
          <w:b/>
          <w:bCs/>
          <w:sz w:val="28"/>
          <w:szCs w:val="28"/>
        </w:rPr>
        <w:t xml:space="preserve">	HEAD OF THE DEPARTMENT</w:t>
      </w:r>
    </w:p>
    <w:p>
      <w:r>
        <w:t xml:space="preserve"/>
      </w:r>
    </w:p>
    <w:p>
      <w:pPr>
        <w:spacing w:after="40" w:line="360"/>
        <w:jc w:val="left"/>
      </w:pPr>
      <w:r>
        <w:rPr>
          <w:rFonts w:ascii="Times New Roman" w:cs="Times New Roman" w:eastAsia="Times New Roman" w:hAnsi="Times New Roman"/>
          <w:sz w:val="28"/>
          <w:szCs w:val="28"/>
        </w:rPr>
        <w:t xml:space="preserve">[Name of Supervisor]</w:t>
      </w:r>
    </w:p>
    <w:p>
      <w:pPr>
        <w:spacing w:after="40" w:line="360"/>
        <w:jc w:val="left"/>
      </w:pPr>
      <w:r>
        <w:rPr>
          <w:rFonts w:ascii="Times New Roman" w:cs="Times New Roman" w:eastAsia="Times New Roman" w:hAnsi="Times New Roman"/>
          <w:sz w:val="28"/>
          <w:szCs w:val="28"/>
        </w:rPr>
        <w:t xml:space="preserve">[Academic Designation]</w:t>
      </w:r>
    </w:p>
    <w:p>
      <w:pPr>
        <w:spacing w:after="40" w:line="360"/>
        <w:jc w:val="left"/>
      </w:pPr>
      <w:r>
        <w:rPr>
          <w:rFonts w:ascii="Times New Roman" w:cs="Times New Roman" w:eastAsia="Times New Roman" w:hAnsi="Times New Roman"/>
          <w:sz w:val="28"/>
          <w:szCs w:val="28"/>
        </w:rPr>
        <w:t xml:space="preserve">Department of CSE (AI/ML)</w:t>
      </w:r>
    </w:p>
    <w:p>
      <w:pPr>
        <w:spacing w:after="300" w:line="360"/>
        <w:jc w:val="left"/>
      </w:pPr>
      <w:r>
        <w:rPr>
          <w:rFonts w:ascii="Times New Roman" w:cs="Times New Roman" w:eastAsia="Times New Roman" w:hAnsi="Times New Roman"/>
          <w:sz w:val="28"/>
          <w:szCs w:val="28"/>
        </w:rPr>
        <w:t xml:space="preserve">Sri Krishna College of Technology, Coimbatore – 641 042</w:t>
      </w:r>
    </w:p>
    <w:p>
      <w:r>
        <w:t xml:space="preserve"/>
      </w:r>
    </w:p>
    <w:p>
      <w:r>
        <w:t xml:space="preserve"/>
      </w:r>
    </w:p>
    <w:p>
      <w:pPr>
        <w:tabs>
          <w:tab w:val="right" w:pos="9072"/>
        </w:tabs>
        <w:spacing w:line="480" w:lineRule="auto"/>
      </w:pPr>
      <w:r>
        <w:rPr>
          <w:rFonts w:ascii="Times New Roman" w:cs="Times New Roman" w:eastAsia="Times New Roman" w:hAnsi="Times New Roman"/>
          <w:b/>
          <w:bCs/>
          <w:sz w:val="28"/>
          <w:szCs w:val="28"/>
        </w:rPr>
        <w:t xml:space="preserve">INTERNAL EXAMINER</w:t>
      </w:r>
      <w:r>
        <w:rPr>
          <w:rFonts w:ascii="Times New Roman" w:cs="Times New Roman" w:eastAsia="Times New Roman" w:hAnsi="Times New Roman"/>
          <w:b/>
          <w:bCs/>
          <w:sz w:val="28"/>
          <w:szCs w:val="28"/>
        </w:rPr>
        <w:t xml:space="preserve">	EXTERNAL EXAMINER</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200"/>
      </w:tblGrid>
      <w:tr>
        <w:tc>
          <w:tcPr>
            <w:tcW w:type="dxa" w:w="1100"/>
            <w:tcBorders>
              <w:top w:val="none" w:color="FFFFFF" w:sz="0"/>
              <w:left w:val="none" w:color="FFFFFF" w:sz="0"/>
              <w:bottom w:val="none" w:color="FFFFFF" w:sz="0"/>
              <w:right w:val="none" w:color="FFFFFF" w:sz="0"/>
            </w:tcBorders>
            <w:vAlign w:val="center"/>
          </w:tcPr>
          <w:p>
            <w:pPr>
              <w:jc w:val="center"/>
            </w:pPr>
            <w:r>
              <w:drawing>
                <wp:inline distT="0" distB="0" distL="0" distR="0">
                  <wp:extent cx="533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495300"/>
                          </a:xfrm>
                          <a:prstGeom prst="rect">
                            <a:avLst/>
                          </a:prstGeom>
                        </pic:spPr>
                      </pic:pic>
                    </a:graphicData>
                  </a:graphic>
                </wp:inline>
              </w:drawing>
            </w:r>
          </w:p>
        </w:tc>
        <w:tc>
          <w:tcPr>
            <w:tcW w:type="dxa" w:w="5700"/>
            <w:tcBorders>
              <w:top w:val="none" w:color="FFFFFF" w:sz="0"/>
              <w:left w:val="none" w:color="FFFFFF" w:sz="0"/>
              <w:bottom w:val="none" w:color="FFFFFF" w:sz="0"/>
              <w:right w:val="none" w:color="FFFFFF" w:sz="0"/>
            </w:tcBorders>
            <w:vAlign w:val="center"/>
          </w:tcPr>
          <w:p>
            <w:pPr>
              <w:spacing w:after="20"/>
              <w:jc w:val="left"/>
            </w:pPr>
            <w:r>
              <w:rPr>
                <w:rFonts w:ascii="Times New Roman" w:cs="Times New Roman" w:eastAsia="Times New Roman" w:hAnsi="Times New Roman"/>
                <w:b/>
                <w:bCs/>
                <w:sz w:val="23"/>
                <w:szCs w:val="23"/>
              </w:rPr>
              <w:t xml:space="preserve">SRI KRISHNA COLLEGE OF TECHNOLOGY</w:t>
            </w:r>
          </w:p>
          <w:p>
            <w:pPr>
              <w:spacing w:after="10"/>
              <w:jc w:val="left"/>
            </w:pPr>
            <w:r>
              <w:rPr>
                <w:rFonts w:ascii="Times New Roman" w:cs="Times New Roman" w:eastAsia="Times New Roman" w:hAnsi="Times New Roman"/>
                <w:sz w:val="19"/>
                <w:szCs w:val="19"/>
              </w:rPr>
              <w:t xml:space="preserve">(An Autonomous Institution)</w:t>
            </w:r>
          </w:p>
          <w:p>
            <w:pPr>
              <w:spacing w:after="10"/>
              <w:jc w:val="left"/>
            </w:pPr>
            <w:r>
              <w:rPr>
                <w:rFonts w:ascii="Times New Roman" w:cs="Times New Roman" w:eastAsia="Times New Roman" w:hAnsi="Times New Roman"/>
                <w:sz w:val="19"/>
                <w:szCs w:val="19"/>
              </w:rPr>
              <w:t xml:space="preserve">Affiliated to Anna University and Approved by AICTE</w:t>
            </w:r>
          </w:p>
          <w:p>
            <w:pPr>
              <w:spacing w:after="0"/>
              <w:jc w:val="left"/>
            </w:pPr>
            <w:r>
              <w:rPr>
                <w:rFonts w:ascii="Times New Roman" w:cs="Times New Roman" w:eastAsia="Times New Roman" w:hAnsi="Times New Roman"/>
                <w:sz w:val="19"/>
                <w:szCs w:val="19"/>
              </w:rPr>
              <w:t xml:space="preserve">KOVAIPUDUR, COIMBATORE – 641 042</w:t>
            </w:r>
          </w:p>
        </w:tc>
        <w:tc>
          <w:tcPr>
            <w:tcW w:type="dxa" w:w="2200"/>
            <w:tcBorders>
              <w:top w:val="none" w:color="FFFFFF" w:sz="0"/>
              <w:left w:val="none" w:color="FFFFFF" w:sz="0"/>
              <w:bottom w:val="none" w:color="FFFFFF" w:sz="0"/>
              <w:right w:val="none" w:color="FFFFFF" w:sz="0"/>
            </w:tcBorders>
            <w:vAlign w:val="center"/>
          </w:tcPr>
          <w:p>
            <w:pPr>
              <w:jc w:val="center"/>
            </w:pPr>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228600"/>
                          </a:xfrm>
                          <a:prstGeom prst="rect">
                            <a:avLst/>
                          </a:prstGeom>
                        </pic:spPr>
                      </pic:pic>
                    </a:graphicData>
                  </a:graphic>
                </wp:inline>
              </w:drawing>
            </w:r>
          </w:p>
        </w:tc>
      </w:tr>
    </w:tbl>
    <w:p>
      <w:r>
        <w:t xml:space="preserve"/>
      </w:r>
    </w:p>
    <w:p>
      <w:pPr>
        <w:spacing w:after="320"/>
        <w:jc w:val="center"/>
      </w:pPr>
      <w:r>
        <w:rPr>
          <w:rFonts w:ascii="Times New Roman" w:cs="Times New Roman" w:eastAsia="Times New Roman" w:hAnsi="Times New Roman"/>
          <w:b/>
          <w:bCs/>
          <w:sz w:val="30"/>
          <w:szCs w:val="30"/>
        </w:rPr>
        <w:t xml:space="preserve">DECLARATION</w:t>
      </w:r>
    </w:p>
    <w:p>
      <w:pPr>
        <w:spacing w:after="200" w:line="480" w:lineRule="auto"/>
        <w:jc w:val="both"/>
      </w:pPr>
      <w:r>
        <w:rPr>
          <w:rFonts w:ascii="Times New Roman" w:cs="Times New Roman" w:eastAsia="Times New Roman" w:hAnsi="Times New Roman"/>
          <w:sz w:val="28"/>
          <w:szCs w:val="28"/>
        </w:rPr>
        <w:t xml:space="preserve">We affirm that the project report titled “POST-QUANTUM SECURE VEHICLE-TO-VEHICLE PLATOON COMMUNICATION SYSTEM” being submitted in partial fulfilment for the award of BACHELOR OF ENGINEERING in COMPUTER SCIENCE AND ENGINEERING (ARTIFICIAL INTELLIGENCE AND MACHINE LEARNING) is the original work carried out by us. It has not formed part of any other project report or dissertation on the basis of which a degree or award was conferred on an earlier occasion on this or any other candidate.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tcBorders>
              <w:top w:val="none" w:color="FFFFFF" w:sz="0"/>
              <w:left w:val="none" w:color="FFFFFF" w:sz="0"/>
              <w:bottom w:val="none" w:color="FFFFFF" w:sz="0"/>
              <w:right w:val="none" w:color="FFFFFF" w:sz="0"/>
            </w:tcBorders>
          </w:tcPr>
          <w:p>
            <w:pPr>
              <w:spacing w:after="160" w:line="360" w:lineRule="auto"/>
              <w:jc w:val="left"/>
            </w:pPr>
            <w:r>
              <w:rPr>
                <w:rFonts w:ascii="Times New Roman" w:cs="Times New Roman" w:eastAsia="Times New Roman" w:hAnsi="Times New Roman"/>
                <w:b/>
                <w:bCs/>
                <w:sz w:val="28"/>
                <w:szCs w:val="28"/>
              </w:rPr>
              <w:t xml:space="preserve">Name</w:t>
            </w:r>
          </w:p>
        </w:tc>
        <w:tc>
          <w:tcPr>
            <w:tcW w:type="dxa" w:w="2400"/>
            <w:tcBorders>
              <w:top w:val="none" w:color="FFFFFF" w:sz="0"/>
              <w:left w:val="none" w:color="FFFFFF" w:sz="0"/>
              <w:bottom w:val="none" w:color="FFFFFF" w:sz="0"/>
              <w:right w:val="none" w:color="FFFFFF" w:sz="0"/>
            </w:tcBorders>
          </w:tcPr>
          <w:p>
            <w:pPr>
              <w:spacing w:after="160" w:line="360" w:lineRule="auto"/>
              <w:jc w:val="left"/>
            </w:pPr>
            <w:r>
              <w:rPr>
                <w:rFonts w:ascii="Times New Roman" w:cs="Times New Roman" w:eastAsia="Times New Roman" w:hAnsi="Times New Roman"/>
                <w:b/>
                <w:bCs/>
                <w:sz w:val="28"/>
                <w:szCs w:val="28"/>
              </w:rPr>
              <w:t xml:space="preserve">Reg. No.</w:t>
            </w:r>
          </w:p>
        </w:tc>
        <w:tc>
          <w:tcPr>
            <w:tcW w:type="dxa" w:w="2400"/>
            <w:tcBorders>
              <w:top w:val="none" w:color="FFFFFF" w:sz="0"/>
              <w:left w:val="none" w:color="FFFFFF" w:sz="0"/>
              <w:bottom w:val="none" w:color="FFFFFF" w:sz="0"/>
              <w:right w:val="none" w:color="FFFFFF" w:sz="0"/>
            </w:tcBorders>
          </w:tcPr>
          <w:p>
            <w:pPr>
              <w:spacing w:after="160" w:line="360" w:lineRule="auto"/>
              <w:jc w:val="left"/>
            </w:pPr>
            <w:r>
              <w:rPr>
                <w:rFonts w:ascii="Times New Roman" w:cs="Times New Roman" w:eastAsia="Times New Roman" w:hAnsi="Times New Roman"/>
                <w:b/>
                <w:bCs/>
                <w:sz w:val="28"/>
                <w:szCs w:val="28"/>
              </w:rPr>
              <w:t xml:space="preserve">Signature</w:t>
            </w:r>
          </w:p>
        </w:tc>
      </w:tr>
      <w:tr>
        <w:tc>
          <w:tcPr>
            <w:tcW w:type="dxa" w:w="42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[NAME OF CANDIDATE 1]</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r>
      <w:tr>
        <w:tc>
          <w:tcPr>
            <w:tcW w:type="dxa" w:w="42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[NAME OF CANDIDATE 2]</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r>
      <w:tr>
        <w:tc>
          <w:tcPr>
            <w:tcW w:type="dxa" w:w="42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[NAME OF CANDIDATE 3]</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r>
    </w:tbl>
    <w:p>
      <w:r>
        <w:t xml:space="preserve"/>
      </w:r>
    </w:p>
    <w:p>
      <w:r>
        <w:t xml:space="preserve"/>
      </w:r>
    </w:p>
    <w:p>
      <w:pPr>
        <w:spacing w:after="200" w:line="480" w:lineRule="auto"/>
        <w:jc w:val="both"/>
      </w:pPr>
      <w:r>
        <w:rPr>
          <w:rFonts w:ascii="Times New Roman" w:cs="Times New Roman" w:eastAsia="Times New Roman" w:hAnsi="Times New Roman"/>
          <w:sz w:val="28"/>
          <w:szCs w:val="28"/>
        </w:rPr>
        <w:t xml:space="preserve">I certify that the declaration made by the above candidates is true to the best of my knowledge.</w:t>
      </w:r>
    </w:p>
    <w:p>
      <w:r>
        <w:t xml:space="preserve"/>
      </w:r>
    </w:p>
    <w:p>
      <w:r>
        <w:t xml:space="preserve"/>
      </w:r>
    </w:p>
    <w:p>
      <w:pPr>
        <w:spacing w:after="160" w:line="360" w:lineRule="auto"/>
        <w:jc w:val="left"/>
      </w:pPr>
      <w:r>
        <w:rPr>
          <w:rFonts w:ascii="Times New Roman" w:cs="Times New Roman" w:eastAsia="Times New Roman" w:hAnsi="Times New Roman"/>
          <w:sz w:val="28"/>
          <w:szCs w:val="28"/>
        </w:rPr>
        <w:t xml:space="preserve">Name and Signature of the Supervisor with Date: ________________________________</w:t>
      </w:r>
    </w:p>
    <w:p>
      <w:r>
        <w:br w:type="page"/>
      </w:r>
    </w:p>
    <w:p>
      <w:pPr>
        <w:spacing w:after="320"/>
        <w:jc w:val="center"/>
      </w:pPr>
      <w:r>
        <w:rPr>
          <w:rFonts w:ascii="Times New Roman" w:cs="Times New Roman" w:eastAsia="Times New Roman" w:hAnsi="Times New Roman"/>
          <w:b/>
          <w:bCs/>
          <w:sz w:val="30"/>
          <w:szCs w:val="30"/>
        </w:rPr>
        <w:t xml:space="preserve">ACKNOWLEDGEMENT</w:t>
      </w:r>
    </w:p>
    <w:p>
      <w:pPr>
        <w:spacing w:after="200" w:line="480" w:lineRule="auto"/>
        <w:jc w:val="both"/>
      </w:pPr>
      <w:r>
        <w:rPr>
          <w:rFonts w:ascii="Times New Roman" w:cs="Times New Roman" w:eastAsia="Times New Roman" w:hAnsi="Times New Roman"/>
          <w:sz w:val="28"/>
          <w:szCs w:val="28"/>
        </w:rPr>
        <w:t xml:space="preserve">[Space reserved for the team's acknowledgement — typically thanking the Management, Principal, Head of the Department, project supervisor (Dr. Suma Sira Jacob), and any other faculty or lab staff who supported the project.]</w:t>
      </w:r>
    </w:p>
    <w:p>
      <w:r>
        <w:br w:type="page"/>
      </w:r>
    </w:p>
    <w:p>
      <w:pPr>
        <w:spacing w:after="320"/>
        <w:jc w:val="center"/>
      </w:pPr>
      <w:r>
        <w:rPr>
          <w:rFonts w:ascii="Times New Roman" w:cs="Times New Roman" w:eastAsia="Times New Roman" w:hAnsi="Times New Roman"/>
          <w:b/>
          <w:bCs/>
          <w:sz w:val="30"/>
          <w:szCs w:val="30"/>
        </w:rPr>
        <w:t xml:space="preserve">ABSTRACT</w:t>
      </w:r>
    </w:p>
    <w:p>
      <w:pPr>
        <w:spacing w:after="200" w:line="480" w:lineRule="auto"/>
        <w:jc w:val="both"/>
      </w:pPr>
      <w:r>
        <w:rPr>
          <w:rFonts w:ascii="Times New Roman" w:cs="Times New Roman" w:eastAsia="Times New Roman" w:hAnsi="Times New Roman"/>
          <w:sz w:val="28"/>
          <w:szCs w:val="28"/>
        </w:rPr>
        <w:t xml:space="preserve">Autonomous vehicle platoons exchange 10–50 safety-critical control messages every second over wireless vehicle-to-vehicle (V2V) links, and the confidentiality and authenticity of every one of those messages must survive not only present-day adversaries but the eventual arrival of cryptographically relevant quantum computers, which will break the RSA- and ECC-based schemes used in today's automotive security stacks. Existing proposals to make V2V links quantum-safe generally graft Quantum Key Distribution (QKD) onto classical TLS, which requires dedicated optical fibre and stationary hardware that a moving vehicle cannot carry.</w:t>
      </w:r>
    </w:p>
    <w:p>
      <w:pPr>
        <w:spacing w:after="200" w:line="480" w:lineRule="auto"/>
        <w:jc w:val="both"/>
      </w:pPr>
      <w:r>
        <w:rPr>
          <w:rFonts w:ascii="Times New Roman" w:cs="Times New Roman" w:eastAsia="Times New Roman" w:hAnsi="Times New Roman"/>
          <w:sz w:val="28"/>
          <w:szCs w:val="28"/>
        </w:rPr>
        <w:t xml:space="preserve">This project designs and implements a pure post-quantum secure channel for a leader–follower vehicle platoon that needs no specialised hardware. A mini Certificate Authority issues every vehicle a CRYSTALS-Dilithium (ML-DSA-65) signed identity; the leader and each follower then perform a three-message mutual-authentication handshake in which a CRYSTALS-Kyber (ML-KEM-768) key exchange is bound to the vehicles' verified identities, and both sides derive a shared AES-256-GCM session key via HKDF-SHA256. Every platoon command thereafter travels as one authenticated-encrypted UDP datagram, with per-message sequence numbers blocking replay.</w:t>
      </w:r>
    </w:p>
    <w:p>
      <w:pPr>
        <w:spacing w:after="200" w:line="480" w:lineRule="auto"/>
        <w:jc w:val="both"/>
      </w:pPr>
      <w:r>
        <w:rPr>
          <w:rFonts w:ascii="Times New Roman" w:cs="Times New Roman" w:eastAsia="Times New Roman" w:hAnsi="Times New Roman"/>
          <w:sz w:val="28"/>
          <w:szCs w:val="28"/>
        </w:rPr>
        <w:t xml:space="preserve">The system is implemented in Python as a leader-plus-N-follower simulation over UDP, with a companion narrated demonstration script that stages man-in-the-middle, replay, tampering, and forged-firmware-update attacks and shows the protocol either blocking each one or, with identity checks intentionally disabled, exposing exactly what an attacker gains — making the security contribution of the Dilithium identity layer concrete rather than assumed. Round-trip latency and per-primitive cryptographic timings are captured for every run and rendered on a benchmark dashboard, and a live FastAPI/WebSocket web dashboard visualises each scenario as it runs. The design is also crypto-agile: the KEM and signature parameter sets are centralised in a single configuration module, allowing the whole platoon to be switched to a different NIST security level with a one-line change. Results and acknowledged limitations — principally certificate size relative to the Ethernet MTU and the cost of running lattice-based cryptography in pure Python rather than on accelerated embedded hardware — are discussed as directions for a hardware-targeted follow-on implementation.</w:t>
      </w:r>
    </w:p>
    <w:p>
      <w:r>
        <w:br w:type="page"/>
      </w:r>
    </w:p>
    <w:p>
      <w:pPr>
        <w:spacing w:after="60"/>
        <w:jc w:val="center"/>
      </w:pPr>
      <w:r>
        <w:rPr>
          <w:rFonts w:ascii="Times New Roman" w:cs="Times New Roman" w:eastAsia="Times New Roman" w:hAnsi="Times New Roman"/>
          <w:b/>
          <w:bCs/>
          <w:sz w:val="30"/>
          <w:szCs w:val="30"/>
        </w:rPr>
        <w:t xml:space="preserve">TABLE OF CONTENTS</w:t>
      </w:r>
    </w:p>
    <w:p>
      <w:pPr>
        <w:spacing w:after="200" w:line="300"/>
        <w:jc w:val="both"/>
      </w:pPr>
      <w:r>
        <w:rPr>
          <w:rFonts w:ascii="Times New Roman" w:cs="Times New Roman" w:eastAsia="Times New Roman" w:hAnsi="Times New Roman"/>
          <w:b/>
          <w:bCs/>
          <w:sz w:val="28"/>
          <w:szCs w:val="28"/>
        </w:rPr>
        <w:t xml:space="preserve">CHAPTER NO.</w:t>
      </w:r>
    </w:p>
    <w:p>
      <w:pPr>
        <w:tabs>
          <w:tab w:val="right" w:pos="9072" w:leader="dot"/>
        </w:tabs>
        <w:spacing w:after="60" w:line="360" w:lineRule="auto"/>
      </w:pPr>
      <w:r>
        <w:rPr>
          <w:rFonts w:ascii="Times New Roman" w:cs="Times New Roman" w:eastAsia="Times New Roman" w:hAnsi="Times New Roman"/>
          <w:sz w:val="28"/>
          <w:szCs w:val="28"/>
        </w:rPr>
        <w:t xml:space="preserve">ACKNOWLEDGEMENT</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ABSTRACT</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LIST OF TABLES</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LIST OF FIGURES</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LIST OF SYMBOLS AND ABBREVIATIONS</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1.  INTRODUCTION</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1.1  General</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1.2  Motivation</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1.3  Scope of the Project</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2.  LITERATURE REVIEW</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2.1  General</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2.2  Related Standards and Prior Work</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3.  PROBLEM IDENTIFICATION</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4.  OBJECTIVE</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5.  PROBLEM SOLUTION / PROPOSED SYSTEM</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6.  BLOCK DIAGRAM</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7.  METHODOLOGY</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8.  CONCLUSION</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APPENDICES</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SDG MAPPING</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REFERENCES</w:t>
      </w:r>
      <w:r>
        <w:rPr>
          <w:rFonts w:ascii="Times New Roman" w:cs="Times New Roman" w:eastAsia="Times New Roman" w:hAnsi="Times New Roman"/>
          <w:sz w:val="28"/>
          <w:szCs w:val="28"/>
        </w:rPr>
        <w:t xml:space="preserve">	____</w:t>
      </w:r>
    </w:p>
    <w:p>
      <w:r>
        <w:br w:type="page"/>
      </w:r>
    </w:p>
    <w:p>
      <w:pPr>
        <w:spacing w:after="260"/>
        <w:jc w:val="center"/>
      </w:pPr>
      <w:r>
        <w:rPr>
          <w:rFonts w:ascii="Times New Roman" w:cs="Times New Roman" w:eastAsia="Times New Roman" w:hAnsi="Times New Roman"/>
          <w:b/>
          <w:bCs/>
          <w:sz w:val="30"/>
          <w:szCs w:val="30"/>
        </w:rPr>
        <w:t xml:space="preserve">LIST OF TABLES</w:t>
      </w:r>
    </w:p>
    <w:p>
      <w:pPr>
        <w:tabs>
          <w:tab w:val="right" w:pos="9072" w:leader="dot"/>
        </w:tabs>
        <w:spacing w:after="60" w:line="360" w:lineRule="auto"/>
      </w:pPr>
      <w:r>
        <w:rPr>
          <w:rFonts w:ascii="Times New Roman" w:cs="Times New Roman" w:eastAsia="Times New Roman" w:hAnsi="Times New Roman"/>
          <w:sz w:val="28"/>
          <w:szCs w:val="28"/>
        </w:rPr>
        <w:t xml:space="preserve">Table 5.1  Cryptographic Algorithms Used in the Proposed System</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Table 5.2  Comparison – Hybrid QKD+PQC (Base Paper) vs. Proposed Pure-PQC Design</w:t>
      </w:r>
      <w:r>
        <w:rPr>
          <w:rFonts w:ascii="Times New Roman" w:cs="Times New Roman" w:eastAsia="Times New Roman" w:hAnsi="Times New Roman"/>
          <w:sz w:val="28"/>
          <w:szCs w:val="28"/>
        </w:rPr>
        <w:t xml:space="preserve">	____</w:t>
      </w:r>
    </w:p>
    <w:p>
      <w:r>
        <w:br w:type="page"/>
      </w:r>
    </w:p>
    <w:p>
      <w:pPr>
        <w:spacing w:after="260"/>
        <w:jc w:val="center"/>
      </w:pPr>
      <w:r>
        <w:rPr>
          <w:rFonts w:ascii="Times New Roman" w:cs="Times New Roman" w:eastAsia="Times New Roman" w:hAnsi="Times New Roman"/>
          <w:b/>
          <w:bCs/>
          <w:sz w:val="30"/>
          <w:szCs w:val="30"/>
        </w:rPr>
        <w:t xml:space="preserve">LIST OF FIGURES</w:t>
      </w:r>
    </w:p>
    <w:p>
      <w:pPr>
        <w:tabs>
          <w:tab w:val="right" w:pos="9072" w:leader="dot"/>
        </w:tabs>
        <w:spacing w:after="60" w:line="360" w:lineRule="auto"/>
      </w:pPr>
      <w:r>
        <w:rPr>
          <w:rFonts w:ascii="Times New Roman" w:cs="Times New Roman" w:eastAsia="Times New Roman" w:hAnsi="Times New Roman"/>
          <w:sz w:val="28"/>
          <w:szCs w:val="28"/>
        </w:rPr>
        <w:t xml:space="preserve">Figure 6.1  Block Diagram of the Proposed System</w:t>
      </w:r>
      <w:r>
        <w:rPr>
          <w:rFonts w:ascii="Times New Roman" w:cs="Times New Roman" w:eastAsia="Times New Roman" w:hAnsi="Times New Roman"/>
          <w:sz w:val="28"/>
          <w:szCs w:val="28"/>
        </w:rPr>
        <w:t xml:space="preserve">	____</w:t>
      </w:r>
    </w:p>
    <w:p>
      <w:r>
        <w:br w:type="page"/>
      </w:r>
    </w:p>
    <w:p>
      <w:pPr>
        <w:spacing w:after="260"/>
        <w:jc w:val="center"/>
      </w:pPr>
      <w:r>
        <w:rPr>
          <w:rFonts w:ascii="Times New Roman" w:cs="Times New Roman" w:eastAsia="Times New Roman" w:hAnsi="Times New Roman"/>
          <w:b/>
          <w:bCs/>
          <w:sz w:val="30"/>
          <w:szCs w:val="30"/>
        </w:rPr>
        <w:t xml:space="preserve">LIST OF SYMBOLS, ABBREVIATIONS AND NOMENCLATURE</w:t>
      </w:r>
    </w:p>
    <w:p>
      <w:pPr>
        <w:tabs>
          <w:tab w:val="left" w:pos="2016"/>
        </w:tabs>
        <w:spacing w:after="100" w:line="360" w:lineRule="auto"/>
      </w:pPr>
      <w:r>
        <w:rPr>
          <w:rFonts w:ascii="Times New Roman" w:cs="Times New Roman" w:eastAsia="Times New Roman" w:hAnsi="Times New Roman"/>
          <w:b/>
          <w:bCs/>
          <w:sz w:val="28"/>
          <w:szCs w:val="28"/>
        </w:rPr>
        <w:t xml:space="preserve">V2V</w:t>
      </w:r>
      <w:r>
        <w:rPr>
          <w:rFonts w:ascii="Times New Roman" w:cs="Times New Roman" w:eastAsia="Times New Roman" w:hAnsi="Times New Roman"/>
          <w:sz w:val="28"/>
          <w:szCs w:val="28"/>
        </w:rPr>
        <w:t xml:space="preserve">	–  Vehicle-to-Vehicle</w:t>
      </w:r>
    </w:p>
    <w:p>
      <w:pPr>
        <w:tabs>
          <w:tab w:val="left" w:pos="2016"/>
        </w:tabs>
        <w:spacing w:after="100" w:line="360" w:lineRule="auto"/>
      </w:pPr>
      <w:r>
        <w:rPr>
          <w:rFonts w:ascii="Times New Roman" w:cs="Times New Roman" w:eastAsia="Times New Roman" w:hAnsi="Times New Roman"/>
          <w:b/>
          <w:bCs/>
          <w:sz w:val="28"/>
          <w:szCs w:val="28"/>
        </w:rPr>
        <w:t xml:space="preserve">PQC</w:t>
      </w:r>
      <w:r>
        <w:rPr>
          <w:rFonts w:ascii="Times New Roman" w:cs="Times New Roman" w:eastAsia="Times New Roman" w:hAnsi="Times New Roman"/>
          <w:sz w:val="28"/>
          <w:szCs w:val="28"/>
        </w:rPr>
        <w:t xml:space="preserve">	–  Post-Quantum Cryptography</w:t>
      </w:r>
    </w:p>
    <w:p>
      <w:pPr>
        <w:tabs>
          <w:tab w:val="left" w:pos="2016"/>
        </w:tabs>
        <w:spacing w:after="100" w:line="360" w:lineRule="auto"/>
      </w:pPr>
      <w:r>
        <w:rPr>
          <w:rFonts w:ascii="Times New Roman" w:cs="Times New Roman" w:eastAsia="Times New Roman" w:hAnsi="Times New Roman"/>
          <w:b/>
          <w:bCs/>
          <w:sz w:val="28"/>
          <w:szCs w:val="28"/>
        </w:rPr>
        <w:t xml:space="preserve">KEM</w:t>
      </w:r>
      <w:r>
        <w:rPr>
          <w:rFonts w:ascii="Times New Roman" w:cs="Times New Roman" w:eastAsia="Times New Roman" w:hAnsi="Times New Roman"/>
          <w:sz w:val="28"/>
          <w:szCs w:val="28"/>
        </w:rPr>
        <w:t xml:space="preserve">	–  Key Encapsulation Mechanism</w:t>
      </w:r>
    </w:p>
    <w:p>
      <w:pPr>
        <w:tabs>
          <w:tab w:val="left" w:pos="2016"/>
        </w:tabs>
        <w:spacing w:after="100" w:line="360" w:lineRule="auto"/>
      </w:pPr>
      <w:r>
        <w:rPr>
          <w:rFonts w:ascii="Times New Roman" w:cs="Times New Roman" w:eastAsia="Times New Roman" w:hAnsi="Times New Roman"/>
          <w:b/>
          <w:bCs/>
          <w:sz w:val="28"/>
          <w:szCs w:val="28"/>
        </w:rPr>
        <w:t xml:space="preserve">ML-KEM</w:t>
      </w:r>
      <w:r>
        <w:rPr>
          <w:rFonts w:ascii="Times New Roman" w:cs="Times New Roman" w:eastAsia="Times New Roman" w:hAnsi="Times New Roman"/>
          <w:sz w:val="28"/>
          <w:szCs w:val="28"/>
        </w:rPr>
        <w:t xml:space="preserve">	–  Module-Lattice-based Key Encapsulation Mechanism (Kyber)</w:t>
      </w:r>
    </w:p>
    <w:p>
      <w:pPr>
        <w:tabs>
          <w:tab w:val="left" w:pos="2016"/>
        </w:tabs>
        <w:spacing w:after="100" w:line="360" w:lineRule="auto"/>
      </w:pPr>
      <w:r>
        <w:rPr>
          <w:rFonts w:ascii="Times New Roman" w:cs="Times New Roman" w:eastAsia="Times New Roman" w:hAnsi="Times New Roman"/>
          <w:b/>
          <w:bCs/>
          <w:sz w:val="28"/>
          <w:szCs w:val="28"/>
        </w:rPr>
        <w:t xml:space="preserve">ML-DSA</w:t>
      </w:r>
      <w:r>
        <w:rPr>
          <w:rFonts w:ascii="Times New Roman" w:cs="Times New Roman" w:eastAsia="Times New Roman" w:hAnsi="Times New Roman"/>
          <w:sz w:val="28"/>
          <w:szCs w:val="28"/>
        </w:rPr>
        <w:t xml:space="preserve">	–  Module-Lattice-based Digital Signature Algorithm (Dilithium)</w:t>
      </w:r>
    </w:p>
    <w:p>
      <w:pPr>
        <w:tabs>
          <w:tab w:val="left" w:pos="2016"/>
        </w:tabs>
        <w:spacing w:after="100" w:line="360" w:lineRule="auto"/>
      </w:pPr>
      <w:r>
        <w:rPr>
          <w:rFonts w:ascii="Times New Roman" w:cs="Times New Roman" w:eastAsia="Times New Roman" w:hAnsi="Times New Roman"/>
          <w:b/>
          <w:bCs/>
          <w:sz w:val="28"/>
          <w:szCs w:val="28"/>
        </w:rPr>
        <w:t xml:space="preserve">AES-GCM</w:t>
      </w:r>
      <w:r>
        <w:rPr>
          <w:rFonts w:ascii="Times New Roman" w:cs="Times New Roman" w:eastAsia="Times New Roman" w:hAnsi="Times New Roman"/>
          <w:sz w:val="28"/>
          <w:szCs w:val="28"/>
        </w:rPr>
        <w:t xml:space="preserve">	–  Advanced Encryption Standard – Galois/Counter Mode</w:t>
      </w:r>
    </w:p>
    <w:p>
      <w:pPr>
        <w:tabs>
          <w:tab w:val="left" w:pos="2016"/>
        </w:tabs>
        <w:spacing w:after="100" w:line="360" w:lineRule="auto"/>
      </w:pPr>
      <w:r>
        <w:rPr>
          <w:rFonts w:ascii="Times New Roman" w:cs="Times New Roman" w:eastAsia="Times New Roman" w:hAnsi="Times New Roman"/>
          <w:b/>
          <w:bCs/>
          <w:sz w:val="28"/>
          <w:szCs w:val="28"/>
        </w:rPr>
        <w:t xml:space="preserve">HKDF</w:t>
      </w:r>
      <w:r>
        <w:rPr>
          <w:rFonts w:ascii="Times New Roman" w:cs="Times New Roman" w:eastAsia="Times New Roman" w:hAnsi="Times New Roman"/>
          <w:sz w:val="28"/>
          <w:szCs w:val="28"/>
        </w:rPr>
        <w:t xml:space="preserve">	–  HMAC-based Key Derivation Function</w:t>
      </w:r>
    </w:p>
    <w:p>
      <w:pPr>
        <w:tabs>
          <w:tab w:val="left" w:pos="2016"/>
        </w:tabs>
        <w:spacing w:after="100" w:line="360" w:lineRule="auto"/>
      </w:pPr>
      <w:r>
        <w:rPr>
          <w:rFonts w:ascii="Times New Roman" w:cs="Times New Roman" w:eastAsia="Times New Roman" w:hAnsi="Times New Roman"/>
          <w:b/>
          <w:bCs/>
          <w:sz w:val="28"/>
          <w:szCs w:val="28"/>
        </w:rPr>
        <w:t xml:space="preserve">CA</w:t>
      </w:r>
      <w:r>
        <w:rPr>
          <w:rFonts w:ascii="Times New Roman" w:cs="Times New Roman" w:eastAsia="Times New Roman" w:hAnsi="Times New Roman"/>
          <w:sz w:val="28"/>
          <w:szCs w:val="28"/>
        </w:rPr>
        <w:t xml:space="preserve">	–  Certificate Authority</w:t>
      </w:r>
    </w:p>
    <w:p>
      <w:pPr>
        <w:tabs>
          <w:tab w:val="left" w:pos="2016"/>
        </w:tabs>
        <w:spacing w:after="100" w:line="360" w:lineRule="auto"/>
      </w:pPr>
      <w:r>
        <w:rPr>
          <w:rFonts w:ascii="Times New Roman" w:cs="Times New Roman" w:eastAsia="Times New Roman" w:hAnsi="Times New Roman"/>
          <w:b/>
          <w:bCs/>
          <w:sz w:val="28"/>
          <w:szCs w:val="28"/>
        </w:rPr>
        <w:t xml:space="preserve">PKI</w:t>
      </w:r>
      <w:r>
        <w:rPr>
          <w:rFonts w:ascii="Times New Roman" w:cs="Times New Roman" w:eastAsia="Times New Roman" w:hAnsi="Times New Roman"/>
          <w:sz w:val="28"/>
          <w:szCs w:val="28"/>
        </w:rPr>
        <w:t xml:space="preserve">	–  Public Key Infrastructure</w:t>
      </w:r>
    </w:p>
    <w:p>
      <w:pPr>
        <w:tabs>
          <w:tab w:val="left" w:pos="2016"/>
        </w:tabs>
        <w:spacing w:after="100" w:line="360" w:lineRule="auto"/>
      </w:pPr>
      <w:r>
        <w:rPr>
          <w:rFonts w:ascii="Times New Roman" w:cs="Times New Roman" w:eastAsia="Times New Roman" w:hAnsi="Times New Roman"/>
          <w:b/>
          <w:bCs/>
          <w:sz w:val="28"/>
          <w:szCs w:val="28"/>
        </w:rPr>
        <w:t xml:space="preserve">UDP</w:t>
      </w:r>
      <w:r>
        <w:rPr>
          <w:rFonts w:ascii="Times New Roman" w:cs="Times New Roman" w:eastAsia="Times New Roman" w:hAnsi="Times New Roman"/>
          <w:sz w:val="28"/>
          <w:szCs w:val="28"/>
        </w:rPr>
        <w:t xml:space="preserve">	–  User Datagram Protocol</w:t>
      </w:r>
    </w:p>
    <w:p>
      <w:pPr>
        <w:tabs>
          <w:tab w:val="left" w:pos="2016"/>
        </w:tabs>
        <w:spacing w:after="100" w:line="360" w:lineRule="auto"/>
      </w:pPr>
      <w:r>
        <w:rPr>
          <w:rFonts w:ascii="Times New Roman" w:cs="Times New Roman" w:eastAsia="Times New Roman" w:hAnsi="Times New Roman"/>
          <w:b/>
          <w:bCs/>
          <w:sz w:val="28"/>
          <w:szCs w:val="28"/>
        </w:rPr>
        <w:t xml:space="preserve">MITM</w:t>
      </w:r>
      <w:r>
        <w:rPr>
          <w:rFonts w:ascii="Times New Roman" w:cs="Times New Roman" w:eastAsia="Times New Roman" w:hAnsi="Times New Roman"/>
          <w:sz w:val="28"/>
          <w:szCs w:val="28"/>
        </w:rPr>
        <w:t xml:space="preserve">	–  Man-in-the-Middle (attack)</w:t>
      </w:r>
    </w:p>
    <w:p>
      <w:pPr>
        <w:tabs>
          <w:tab w:val="left" w:pos="2016"/>
        </w:tabs>
        <w:spacing w:after="100" w:line="360" w:lineRule="auto"/>
      </w:pPr>
      <w:r>
        <w:rPr>
          <w:rFonts w:ascii="Times New Roman" w:cs="Times New Roman" w:eastAsia="Times New Roman" w:hAnsi="Times New Roman"/>
          <w:b/>
          <w:bCs/>
          <w:sz w:val="28"/>
          <w:szCs w:val="28"/>
        </w:rPr>
        <w:t xml:space="preserve">RTT</w:t>
      </w:r>
      <w:r>
        <w:rPr>
          <w:rFonts w:ascii="Times New Roman" w:cs="Times New Roman" w:eastAsia="Times New Roman" w:hAnsi="Times New Roman"/>
          <w:sz w:val="28"/>
          <w:szCs w:val="28"/>
        </w:rPr>
        <w:t xml:space="preserve">	–  Round-Trip Time</w:t>
      </w:r>
    </w:p>
    <w:p>
      <w:pPr>
        <w:tabs>
          <w:tab w:val="left" w:pos="2016"/>
        </w:tabs>
        <w:spacing w:after="100" w:line="360" w:lineRule="auto"/>
      </w:pPr>
      <w:r>
        <w:rPr>
          <w:rFonts w:ascii="Times New Roman" w:cs="Times New Roman" w:eastAsia="Times New Roman" w:hAnsi="Times New Roman"/>
          <w:b/>
          <w:bCs/>
          <w:sz w:val="28"/>
          <w:szCs w:val="28"/>
        </w:rPr>
        <w:t xml:space="preserve">OTA</w:t>
      </w:r>
      <w:r>
        <w:rPr>
          <w:rFonts w:ascii="Times New Roman" w:cs="Times New Roman" w:eastAsia="Times New Roman" w:hAnsi="Times New Roman"/>
          <w:sz w:val="28"/>
          <w:szCs w:val="28"/>
        </w:rPr>
        <w:t xml:space="preserve">	–  Over-The-Air (update)</w:t>
      </w:r>
    </w:p>
    <w:p>
      <w:pPr>
        <w:tabs>
          <w:tab w:val="left" w:pos="2016"/>
        </w:tabs>
        <w:spacing w:after="100" w:line="360" w:lineRule="auto"/>
      </w:pPr>
      <w:r>
        <w:rPr>
          <w:rFonts w:ascii="Times New Roman" w:cs="Times New Roman" w:eastAsia="Times New Roman" w:hAnsi="Times New Roman"/>
          <w:b/>
          <w:bCs/>
          <w:sz w:val="28"/>
          <w:szCs w:val="28"/>
        </w:rPr>
        <w:t xml:space="preserve">QKD</w:t>
      </w:r>
      <w:r>
        <w:rPr>
          <w:rFonts w:ascii="Times New Roman" w:cs="Times New Roman" w:eastAsia="Times New Roman" w:hAnsi="Times New Roman"/>
          <w:sz w:val="28"/>
          <w:szCs w:val="28"/>
        </w:rPr>
        <w:t xml:space="preserve">	–  Quantum Key Distribution</w:t>
      </w:r>
    </w:p>
    <w:p>
      <w:pPr>
        <w:tabs>
          <w:tab w:val="left" w:pos="2016"/>
        </w:tabs>
        <w:spacing w:after="100" w:line="360" w:lineRule="auto"/>
      </w:pPr>
      <w:r>
        <w:rPr>
          <w:rFonts w:ascii="Times New Roman" w:cs="Times New Roman" w:eastAsia="Times New Roman" w:hAnsi="Times New Roman"/>
          <w:b/>
          <w:bCs/>
          <w:sz w:val="28"/>
          <w:szCs w:val="28"/>
        </w:rPr>
        <w:t xml:space="preserve">NIST</w:t>
      </w:r>
      <w:r>
        <w:rPr>
          <w:rFonts w:ascii="Times New Roman" w:cs="Times New Roman" w:eastAsia="Times New Roman" w:hAnsi="Times New Roman"/>
          <w:sz w:val="28"/>
          <w:szCs w:val="28"/>
        </w:rPr>
        <w:t xml:space="preserve">	–  National Institute of Standards and Technology</w:t>
      </w:r>
    </w:p>
    <w:p>
      <w:pPr>
        <w:tabs>
          <w:tab w:val="left" w:pos="2016"/>
        </w:tabs>
        <w:spacing w:after="100" w:line="360" w:lineRule="auto"/>
      </w:pPr>
      <w:r>
        <w:rPr>
          <w:rFonts w:ascii="Times New Roman" w:cs="Times New Roman" w:eastAsia="Times New Roman" w:hAnsi="Times New Roman"/>
          <w:b/>
          <w:bCs/>
          <w:sz w:val="28"/>
          <w:szCs w:val="28"/>
        </w:rPr>
        <w:t xml:space="preserve">SDG</w:t>
      </w:r>
      <w:r>
        <w:rPr>
          <w:rFonts w:ascii="Times New Roman" w:cs="Times New Roman" w:eastAsia="Times New Roman" w:hAnsi="Times New Roman"/>
          <w:sz w:val="28"/>
          <w:szCs w:val="28"/>
        </w:rPr>
        <w:t xml:space="preserve">	–  Sustainable Development Goal</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spacing w:after="200" w:before="240" w:line="360" w:lineRule="auto"/>
      </w:pPr>
      <w:r>
        <w:rPr>
          <w:rFonts w:ascii="Times New Roman" w:cs="Times New Roman" w:eastAsia="Times New Roman" w:hAnsi="Times New Roman"/>
          <w:b/>
          <w:bCs/>
          <w:sz w:val="32"/>
          <w:szCs w:val="32"/>
        </w:rPr>
        <w:t xml:space="preserve">1.  INTRODUCTION</w:t>
      </w:r>
    </w:p>
    <w:p>
      <w:pPr>
        <w:pStyle w:val="Heading2"/>
        <w:spacing w:after="140" w:before="200" w:line="360" w:lineRule="auto"/>
      </w:pPr>
      <w:r>
        <w:rPr>
          <w:rFonts w:ascii="Times New Roman" w:cs="Times New Roman" w:eastAsia="Times New Roman" w:hAnsi="Times New Roman"/>
          <w:b/>
          <w:bCs/>
          <w:sz w:val="28"/>
          <w:szCs w:val="28"/>
        </w:rPr>
        <w:t xml:space="preserve">1.1  General</w:t>
      </w:r>
    </w:p>
    <w:p>
      <w:pPr>
        <w:spacing w:after="160" w:line="360" w:lineRule="auto"/>
        <w:jc w:val="both"/>
      </w:pPr>
      <w:r>
        <w:rPr>
          <w:rFonts w:ascii="Times New Roman" w:cs="Times New Roman" w:eastAsia="Times New Roman" w:hAnsi="Times New Roman"/>
          <w:sz w:val="28"/>
          <w:szCs w:val="28"/>
        </w:rPr>
        <w:t xml:space="preserve">Vehicle platooning — a set of vehicles travelling closely together, with a designated leader and one or more followers coordinating speed, spacing and braking over a wireless link — is a foundational capability for autonomous and semi-autonomous road transport. It reduces aerodynamic drag and fuel consumption, increases effective road capacity, and depends entirely on the followers trusting every command that arrives over the Vehicle-to-Vehicle (V2V) channel. A platoon that cannot verify who sent a command, or whether that command has been altered in transit, cannot safely brake, accelerate, or hold formation.</w:t>
      </w:r>
    </w:p>
    <w:p>
      <w:pPr>
        <w:spacing w:after="160" w:line="360" w:lineRule="auto"/>
        <w:jc w:val="both"/>
      </w:pPr>
      <w:r>
        <w:rPr>
          <w:rFonts w:ascii="Times New Roman" w:cs="Times New Roman" w:eastAsia="Times New Roman" w:hAnsi="Times New Roman"/>
          <w:sz w:val="28"/>
          <w:szCs w:val="28"/>
        </w:rPr>
        <w:t xml:space="preserve">The cryptography that currently protects most V2V and V2X communication — RSA and elliptic-curve schemes — is secure against classical computers but not against a sufficiently large quantum computer running Shor's algorithm. NIST completed the standardisation of the first post-quantum cryptographic algorithms in 2024 (FIPS 203, ML-KEM, derived from CRYSTALS-Kyber; FIPS 204, ML-DSA, derived from CRYSTALS-Dilithium), and the automotive and transportation sector — with vehicle lifecycles of ten to twenty years — is one of the domains under the most pressure to migrate before quantum computers arrive, since a vehicle sold today may still be exchanging safety-critical messages long after classical cryptography stops being safe.</w:t>
      </w:r>
    </w:p>
    <w:p>
      <w:pPr>
        <w:pStyle w:val="Heading2"/>
        <w:spacing w:after="140" w:before="200" w:line="360" w:lineRule="auto"/>
      </w:pPr>
      <w:r>
        <w:rPr>
          <w:rFonts w:ascii="Times New Roman" w:cs="Times New Roman" w:eastAsia="Times New Roman" w:hAnsi="Times New Roman"/>
          <w:b/>
          <w:bCs/>
          <w:sz w:val="28"/>
          <w:szCs w:val="28"/>
        </w:rPr>
        <w:t xml:space="preserve">1.2  Motivation</w:t>
      </w:r>
    </w:p>
    <w:p>
      <w:pPr>
        <w:spacing w:after="160" w:line="360" w:lineRule="auto"/>
        <w:jc w:val="both"/>
      </w:pPr>
      <w:r>
        <w:rPr>
          <w:rFonts w:ascii="Times New Roman" w:cs="Times New Roman" w:eastAsia="Times New Roman" w:hAnsi="Times New Roman"/>
          <w:sz w:val="28"/>
          <w:szCs w:val="28"/>
        </w:rPr>
        <w:t xml:space="preserve">The base paper this project extends, “Quantum-resistant Transport Layer Security” (García et al., 2024), answers the quantum threat with a hybrid design: Quantum Key Distribution (QKD) over dedicated optical fibre, layered underneath CRYSTALS-Kyber and CRYSTALS-Dilithium inside TLS. That is a reasonable answer for a data-centre link between two fixed points, but a vehicle is not a fixed point — it has no optical fibre to a neighbouring car, and the base paper's own reported figures show that adding QKD on top of PQC adds roughly 117% communication-time overhead for only a marginal security benefit over PQC alone, which already gives a 9% faster handshake than classical cryptography. A platoon that must exchange 10–50 messages a second cannot absorb that overhead, which motivates a channel built from pure post-quantum primitives and commodity hardware alone.</w:t>
      </w:r>
    </w:p>
    <w:p>
      <w:pPr>
        <w:pStyle w:val="Heading2"/>
        <w:spacing w:after="140" w:before="200" w:line="360" w:lineRule="auto"/>
      </w:pPr>
      <w:r>
        <w:rPr>
          <w:rFonts w:ascii="Times New Roman" w:cs="Times New Roman" w:eastAsia="Times New Roman" w:hAnsi="Times New Roman"/>
          <w:b/>
          <w:bCs/>
          <w:sz w:val="28"/>
          <w:szCs w:val="28"/>
        </w:rPr>
        <w:t xml:space="preserve">1.3  Scope of the Project</w:t>
      </w:r>
    </w:p>
    <w:p>
      <w:pPr>
        <w:spacing w:after="160" w:line="360" w:lineRule="auto"/>
        <w:jc w:val="both"/>
      </w:pPr>
      <w:r>
        <w:rPr>
          <w:rFonts w:ascii="Times New Roman" w:cs="Times New Roman" w:eastAsia="Times New Roman" w:hAnsi="Times New Roman"/>
          <w:sz w:val="28"/>
          <w:szCs w:val="28"/>
        </w:rPr>
        <w:t xml:space="preserve">This project designs, implements and evaluates a software simulation of a post-quantum secure V2V channel for a leader-follower platoon, covering: (i) a minimal certificate-authority-based identity system using Dilithium signatures; (ii) a mutually authenticated Kyber key-exchange handshake; (iii) an AES-256-GCM encrypted command channel with replay protection; (iv) a Dilithium-signed over-the-air firmware update path; and (v) an attack-demonstration and benchmarking harness. The system runs over loopback UDP on a single machine as a proof of concept; real radio-frequency V2X hardware, highway-scale multi-vehicle traffic, and formal cryptographic proofs are outside the scope of this phase of the work.</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2.  LITERATURE REVIEW</w:t>
      </w:r>
    </w:p>
    <w:p>
      <w:pPr>
        <w:pStyle w:val="Heading2"/>
        <w:spacing w:after="140" w:before="200" w:line="360" w:lineRule="auto"/>
      </w:pPr>
      <w:r>
        <w:rPr>
          <w:rFonts w:ascii="Times New Roman" w:cs="Times New Roman" w:eastAsia="Times New Roman" w:hAnsi="Times New Roman"/>
          <w:b/>
          <w:bCs/>
          <w:sz w:val="28"/>
          <w:szCs w:val="28"/>
        </w:rPr>
        <w:t xml:space="preserve">2.1  General</w:t>
      </w:r>
    </w:p>
    <w:p>
      <w:pPr>
        <w:spacing w:after="160" w:line="360" w:lineRule="auto"/>
        <w:jc w:val="both"/>
      </w:pPr>
      <w:r>
        <w:rPr>
          <w:rFonts w:ascii="Times New Roman" w:cs="Times New Roman" w:eastAsia="Times New Roman" w:hAnsi="Times New Roman"/>
          <w:sz w:val="28"/>
          <w:szCs w:val="28"/>
        </w:rPr>
        <w:t xml:space="preserve">The security of vehicular communication has been studied extensively under the umbrella of V2X (vehicle-to-everything) security, historically built around IEEE 1609.2 certificates using elliptic-curve cryptography. With NIST's 2022 selection of CRYSTALS-Kyber and CRYSTALS-Dilithium as the primary algorithms for post-quantum key establishment and digital signatures — finalised as FIPS 203 (ML-KEM) and FIPS 204 (ML-DSA) in 2024 — a growing body of work has begun proposing post-quantum upgrades to TLS, IPsec, and vehicular security protocols specifically.</w:t>
      </w:r>
    </w:p>
    <w:p>
      <w:pPr>
        <w:pStyle w:val="Heading2"/>
        <w:spacing w:after="140" w:before="200" w:line="360" w:lineRule="auto"/>
      </w:pPr>
      <w:r>
        <w:rPr>
          <w:rFonts w:ascii="Times New Roman" w:cs="Times New Roman" w:eastAsia="Times New Roman" w:hAnsi="Times New Roman"/>
          <w:b/>
          <w:bCs/>
          <w:sz w:val="28"/>
          <w:szCs w:val="28"/>
        </w:rPr>
        <w:t xml:space="preserve">2.2  Related Standards and Prior Work</w:t>
      </w:r>
    </w:p>
    <w:p>
      <w:pPr>
        <w:spacing w:after="160" w:line="360" w:lineRule="auto"/>
        <w:jc w:val="both"/>
      </w:pPr>
      <w:r>
        <w:rPr>
          <w:rFonts w:ascii="Times New Roman" w:cs="Times New Roman" w:eastAsia="Times New Roman" w:hAnsi="Times New Roman"/>
          <w:sz w:val="28"/>
          <w:szCs w:val="28"/>
        </w:rPr>
        <w:t xml:space="preserve">The base paper for this project, García et al. (2024), proposes a hybrid Quantum Key Distribution (QKD) and post-quantum cryptography (PQC) upgrade to Transport Layer Security, combining QKD-derived keys over dedicated optical fibre with a Kyber/Dilithium layer. Their evaluation shows PQC alone already outperforms classical RSA/ECC handshakes (≎9% faster), while the addition of QKD introduces substantial communication-time overhead (≎117%) in exchange for information-theoretic key-distribution security — a trade-off that makes sense where fibre is available but not for a mobile radio link.</w:t>
      </w:r>
    </w:p>
    <w:p>
      <w:pPr>
        <w:spacing w:after="160" w:line="360" w:lineRule="auto"/>
        <w:jc w:val="both"/>
      </w:pPr>
      <w:r>
        <w:rPr>
          <w:rFonts w:ascii="Times New Roman" w:cs="Times New Roman" w:eastAsia="Times New Roman" w:hAnsi="Times New Roman"/>
          <w:sz w:val="28"/>
          <w:szCs w:val="28"/>
        </w:rPr>
        <w:t xml:space="preserve">The PQClean project and its Rust/Python bindings (the `pqcrypto` library used in this implementation) provide audited, portable implementations of the NIST-standardised lattice-based algorithms and are increasingly used as the reference implementation for research prototypes that need Kyber/Dilithium without depending on a full liboqs toolchain. This project builds directly on that library, using it to demonstrate that a workable, crypto-agile, pure-PQC V2V channel can be built in software today, ahead of dedicated automotive hardware accelerators becoming common.</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3.  PROBLEM IDENTIFICATION</w:t>
      </w:r>
    </w:p>
    <w:p>
      <w:pPr>
        <w:spacing w:after="160" w:line="360" w:lineRule="auto"/>
        <w:jc w:val="both"/>
      </w:pPr>
      <w:r>
        <w:rPr>
          <w:rFonts w:ascii="Times New Roman" w:cs="Times New Roman" w:eastAsia="Times New Roman" w:hAnsi="Times New Roman"/>
          <w:sz w:val="28"/>
          <w:szCs w:val="28"/>
        </w:rPr>
        <w:t xml:space="preserve">Three concrete problems motivate this work. First, the classical public-key cryptography (RSA/ECC) underlying most deployed V2X security is not quantum-resistant, and vehicles have long operational lifetimes, so messages secured today may need to remain confidential well into the era of practical quantum computers. Second, the leading proposed fix — hybrid QKD+PQC, as in the base paper — assumes a stationary point-to-point optical link and dedicated hardware that a vehicle moving at highway speed alongside other vehicles does not have and cannot practically carry, making it unsuitable for V2V use even though it is a sound design for fixed infrastructure. Third, without a strong identity layer bound to every message, encryption alone is insufficient: a channel that only encrypts (without authenticating peers) is still vulnerable to a man-in-the-middle attacker who can establish separate encrypted sessions with the leader and a follower and relay or modify traffic between them undetected — the very failure mode this project's own MITM demonstration is designed to make visible.</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4.  OBJECTIVE</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design a mutually authenticated, post-quantum secure handshake for a leader–follower V2V platoon using CRYSTALS-Kyber (ML-KEM-768) for key exchange and CRYSTALS-Dilithium (ML-DSA-65) for identity, without relying on Quantum Key Distribution or specialised hardware.</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implement a lightweight certificate authority that binds every vehicle's Dilithium public key to its identity, and to bind every handshake to that identity so that key exchange alone cannot be hijacked by an unauthenticated party.</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encrypt every post-handshake platoon command with AES-256-GCM under a session key derived via HKDF-SHA256, with per-message sequence numbers to detect and reject replayed packets.</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demonstrate, concretely and reproducibly, how the system behaves under man-in-the-middle, replay, tampering, and forged-firmware-update attacks, both with and without the identity layer enabled.</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measure handshake and per-message latency (round-trip time) and per-primitive cryptographic cost, and to make the choice of NIST security level (Kyber-512/768/1024, Dilithium 2/3/5) a single-line configuration change (“crypto-agility”) so the trade-off between security margin and overhead can be benchmarked rather than assumed.</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5.  PROBLEM SOLUTION / PROPOSED SYSTEM</w:t>
      </w:r>
    </w:p>
    <w:p>
      <w:pPr>
        <w:spacing w:after="160" w:line="360" w:lineRule="auto"/>
        <w:jc w:val="both"/>
      </w:pPr>
      <w:r>
        <w:rPr>
          <w:rFonts w:ascii="Times New Roman" w:cs="Times New Roman" w:eastAsia="Times New Roman" w:hAnsi="Times New Roman"/>
          <w:sz w:val="28"/>
          <w:szCs w:val="28"/>
        </w:rPr>
        <w:t xml:space="preserve">The proposed system replaces the base paper's hybrid QKD+PQC link with a pure post-quantum channel built from four algorithms, summarised in Table 5.1, each mapped to a specific security requirement: Dilithium for identity/authentication, Kyber for confidential key establishment, AES-GCM for authenticated encryption of every command, and HKDF for deriving the session key so that the raw Kyber shared secret is never used directly.</w:t>
      </w:r>
    </w:p>
    <w:p>
      <w:pPr>
        <w:spacing w:after="120" w:before="100"/>
        <w:jc w:val="center"/>
      </w:pPr>
      <w:r>
        <w:rPr>
          <w:rFonts w:ascii="Times New Roman" w:cs="Times New Roman" w:eastAsia="Times New Roman" w:hAnsi="Times New Roman"/>
          <w:b w:val="false"/>
          <w:bCs w:val="false"/>
          <w:i/>
          <w:iCs/>
          <w:sz w:val="24"/>
          <w:szCs w:val="24"/>
        </w:rPr>
        <w:t xml:space="preserve">Table 5.1  Cryptographic Algorithms Used in the Proposed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00"/>
      </w:tblGrid>
      <w:tr>
        <w:trPr>
          <w:tblHeader/>
        </w:trPr>
        <w:tc>
          <w:tcPr>
            <w:tcW w:type="dxa" w:w="3300"/>
            <w:shd w:fill="D9E2F3" w:color="auto" w:val="clear"/>
            <w:vAlign w:val="center"/>
          </w:tcPr>
          <w:p>
            <w:pPr>
              <w:spacing w:after="0"/>
              <w:jc w:val="center"/>
            </w:pPr>
            <w:r>
              <w:rPr>
                <w:rFonts w:ascii="Times New Roman" w:cs="Times New Roman" w:eastAsia="Times New Roman" w:hAnsi="Times New Roman"/>
                <w:b/>
                <w:bCs/>
                <w:sz w:val="28"/>
                <w:szCs w:val="28"/>
              </w:rPr>
              <w:t xml:space="preserve">Component</w:t>
            </w:r>
          </w:p>
        </w:tc>
        <w:tc>
          <w:tcPr>
            <w:tcW w:type="dxa" w:w="3300"/>
            <w:shd w:fill="D9E2F3" w:color="auto" w:val="clear"/>
            <w:vAlign w:val="center"/>
          </w:tcPr>
          <w:p>
            <w:pPr>
              <w:spacing w:after="0"/>
              <w:jc w:val="center"/>
            </w:pPr>
            <w:r>
              <w:rPr>
                <w:rFonts w:ascii="Times New Roman" w:cs="Times New Roman" w:eastAsia="Times New Roman" w:hAnsi="Times New Roman"/>
                <w:b/>
                <w:bCs/>
                <w:sz w:val="28"/>
                <w:szCs w:val="28"/>
              </w:rPr>
              <w:t xml:space="preserve">Algorithm</w:t>
            </w:r>
          </w:p>
        </w:tc>
        <w:tc>
          <w:tcPr>
            <w:tcW w:type="dxa" w:w="2400"/>
            <w:shd w:fill="D9E2F3" w:color="auto" w:val="clear"/>
            <w:vAlign w:val="center"/>
          </w:tcPr>
          <w:p>
            <w:pPr>
              <w:spacing w:after="0"/>
              <w:jc w:val="center"/>
            </w:pPr>
            <w:r>
              <w:rPr>
                <w:rFonts w:ascii="Times New Roman" w:cs="Times New Roman" w:eastAsia="Times New Roman" w:hAnsi="Times New Roman"/>
                <w:b/>
                <w:bCs/>
                <w:sz w:val="28"/>
                <w:szCs w:val="28"/>
              </w:rPr>
              <w:t xml:space="preserve">NIST Standard</w:t>
            </w:r>
          </w:p>
        </w:tc>
      </w:tr>
      <w:tr>
        <w:tc>
          <w:tcPr>
            <w:tcW w:type="dxa" w:w="3300"/>
            <w:vAlign w:val="center"/>
          </w:tcPr>
          <w:p>
            <w:pPr>
              <w:spacing w:after="0"/>
              <w:jc w:val="left"/>
            </w:pPr>
            <w:r>
              <w:rPr>
                <w:rFonts w:ascii="Times New Roman" w:cs="Times New Roman" w:eastAsia="Times New Roman" w:hAnsi="Times New Roman"/>
                <w:sz w:val="28"/>
                <w:szCs w:val="28"/>
              </w:rPr>
              <w:t xml:space="preserve">Identity / certificates</w:t>
            </w:r>
          </w:p>
        </w:tc>
        <w:tc>
          <w:tcPr>
            <w:tcW w:type="dxa" w:w="3300"/>
            <w:vAlign w:val="center"/>
          </w:tcPr>
          <w:p>
            <w:pPr>
              <w:spacing w:after="0"/>
              <w:jc w:val="left"/>
            </w:pPr>
            <w:r>
              <w:rPr>
                <w:rFonts w:ascii="Times New Roman" w:cs="Times New Roman" w:eastAsia="Times New Roman" w:hAnsi="Times New Roman"/>
                <w:sz w:val="28"/>
                <w:szCs w:val="28"/>
              </w:rPr>
              <w:t xml:space="preserve">Dilithium3 (ML-DSA-65)</w:t>
            </w:r>
          </w:p>
        </w:tc>
        <w:tc>
          <w:tcPr>
            <w:tcW w:type="dxa" w:w="2400"/>
            <w:vAlign w:val="center"/>
          </w:tcPr>
          <w:p>
            <w:pPr>
              <w:spacing w:after="0"/>
              <w:jc w:val="center"/>
            </w:pPr>
            <w:r>
              <w:rPr>
                <w:rFonts w:ascii="Times New Roman" w:cs="Times New Roman" w:eastAsia="Times New Roman" w:hAnsi="Times New Roman"/>
                <w:sz w:val="28"/>
                <w:szCs w:val="28"/>
              </w:rPr>
              <w:t xml:space="preserve">FIPS 204</w:t>
            </w:r>
          </w:p>
        </w:tc>
      </w:tr>
      <w:tr>
        <w:tc>
          <w:tcPr>
            <w:tcW w:type="dxa" w:w="3300"/>
            <w:vAlign w:val="center"/>
          </w:tcPr>
          <w:p>
            <w:pPr>
              <w:spacing w:after="0"/>
              <w:jc w:val="left"/>
            </w:pPr>
            <w:r>
              <w:rPr>
                <w:rFonts w:ascii="Times New Roman" w:cs="Times New Roman" w:eastAsia="Times New Roman" w:hAnsi="Times New Roman"/>
                <w:sz w:val="28"/>
                <w:szCs w:val="28"/>
              </w:rPr>
              <w:t xml:space="preserve">Key exchange</w:t>
            </w:r>
          </w:p>
        </w:tc>
        <w:tc>
          <w:tcPr>
            <w:tcW w:type="dxa" w:w="3300"/>
            <w:vAlign w:val="center"/>
          </w:tcPr>
          <w:p>
            <w:pPr>
              <w:spacing w:after="0"/>
              <w:jc w:val="left"/>
            </w:pPr>
            <w:r>
              <w:rPr>
                <w:rFonts w:ascii="Times New Roman" w:cs="Times New Roman" w:eastAsia="Times New Roman" w:hAnsi="Times New Roman"/>
                <w:sz w:val="28"/>
                <w:szCs w:val="28"/>
              </w:rPr>
              <w:t xml:space="preserve">Kyber-768 (ML-KEM-768)</w:t>
            </w:r>
          </w:p>
        </w:tc>
        <w:tc>
          <w:tcPr>
            <w:tcW w:type="dxa" w:w="2400"/>
            <w:vAlign w:val="center"/>
          </w:tcPr>
          <w:p>
            <w:pPr>
              <w:spacing w:after="0"/>
              <w:jc w:val="center"/>
            </w:pPr>
            <w:r>
              <w:rPr>
                <w:rFonts w:ascii="Times New Roman" w:cs="Times New Roman" w:eastAsia="Times New Roman" w:hAnsi="Times New Roman"/>
                <w:sz w:val="28"/>
                <w:szCs w:val="28"/>
              </w:rPr>
              <w:t xml:space="preserve">FIPS 203</w:t>
            </w:r>
          </w:p>
        </w:tc>
      </w:tr>
      <w:tr>
        <w:tc>
          <w:tcPr>
            <w:tcW w:type="dxa" w:w="3300"/>
            <w:vAlign w:val="center"/>
          </w:tcPr>
          <w:p>
            <w:pPr>
              <w:spacing w:after="0"/>
              <w:jc w:val="left"/>
            </w:pPr>
            <w:r>
              <w:rPr>
                <w:rFonts w:ascii="Times New Roman" w:cs="Times New Roman" w:eastAsia="Times New Roman" w:hAnsi="Times New Roman"/>
                <w:sz w:val="28"/>
                <w:szCs w:val="28"/>
              </w:rPr>
              <w:t xml:space="preserve">Session encryption</w:t>
            </w:r>
          </w:p>
        </w:tc>
        <w:tc>
          <w:tcPr>
            <w:tcW w:type="dxa" w:w="3300"/>
            <w:vAlign w:val="center"/>
          </w:tcPr>
          <w:p>
            <w:pPr>
              <w:spacing w:after="0"/>
              <w:jc w:val="left"/>
            </w:pPr>
            <w:r>
              <w:rPr>
                <w:rFonts w:ascii="Times New Roman" w:cs="Times New Roman" w:eastAsia="Times New Roman" w:hAnsi="Times New Roman"/>
                <w:sz w:val="28"/>
                <w:szCs w:val="28"/>
              </w:rPr>
              <w:t xml:space="preserve">AES-256-GCM</w:t>
            </w:r>
          </w:p>
        </w:tc>
        <w:tc>
          <w:tcPr>
            <w:tcW w:type="dxa" w:w="2400"/>
            <w:vAlign w:val="center"/>
          </w:tcPr>
          <w:p>
            <w:pPr>
              <w:spacing w:after="0"/>
              <w:jc w:val="center"/>
            </w:pPr>
            <w:r>
              <w:rPr>
                <w:rFonts w:ascii="Times New Roman" w:cs="Times New Roman" w:eastAsia="Times New Roman" w:hAnsi="Times New Roman"/>
                <w:sz w:val="28"/>
                <w:szCs w:val="28"/>
              </w:rPr>
              <w:t xml:space="preserve">SP 800-38D</w:t>
            </w:r>
          </w:p>
        </w:tc>
      </w:tr>
      <w:tr>
        <w:tc>
          <w:tcPr>
            <w:tcW w:type="dxa" w:w="3300"/>
            <w:vAlign w:val="center"/>
          </w:tcPr>
          <w:p>
            <w:pPr>
              <w:spacing w:after="0"/>
              <w:jc w:val="left"/>
            </w:pPr>
            <w:r>
              <w:rPr>
                <w:rFonts w:ascii="Times New Roman" w:cs="Times New Roman" w:eastAsia="Times New Roman" w:hAnsi="Times New Roman"/>
                <w:sz w:val="28"/>
                <w:szCs w:val="28"/>
              </w:rPr>
              <w:t xml:space="preserve">Session key derivation</w:t>
            </w:r>
          </w:p>
        </w:tc>
        <w:tc>
          <w:tcPr>
            <w:tcW w:type="dxa" w:w="3300"/>
            <w:vAlign w:val="center"/>
          </w:tcPr>
          <w:p>
            <w:pPr>
              <w:spacing w:after="0"/>
              <w:jc w:val="left"/>
            </w:pPr>
            <w:r>
              <w:rPr>
                <w:rFonts w:ascii="Times New Roman" w:cs="Times New Roman" w:eastAsia="Times New Roman" w:hAnsi="Times New Roman"/>
                <w:sz w:val="28"/>
                <w:szCs w:val="28"/>
              </w:rPr>
              <w:t xml:space="preserve">HKDF-SHA256</w:t>
            </w:r>
          </w:p>
        </w:tc>
        <w:tc>
          <w:tcPr>
            <w:tcW w:type="dxa" w:w="2400"/>
            <w:vAlign w:val="center"/>
          </w:tcPr>
          <w:p>
            <w:pPr>
              <w:spacing w:after="0"/>
              <w:jc w:val="center"/>
            </w:pPr>
            <w:r>
              <w:rPr>
                <w:rFonts w:ascii="Times New Roman" w:cs="Times New Roman" w:eastAsia="Times New Roman" w:hAnsi="Times New Roman"/>
                <w:sz w:val="28"/>
                <w:szCs w:val="28"/>
              </w:rPr>
              <w:t xml:space="preserve">RFC 5869</w:t>
            </w:r>
          </w:p>
        </w:tc>
      </w:tr>
    </w:tbl>
    <w:p>
      <w:r>
        <w:t xml:space="preserve"/>
      </w:r>
    </w:p>
    <w:p>
      <w:pPr>
        <w:spacing w:after="160" w:line="360" w:lineRule="auto"/>
        <w:jc w:val="both"/>
      </w:pPr>
      <w:r>
        <w:rPr>
          <w:rFonts w:ascii="Times New Roman" w:cs="Times New Roman" w:eastAsia="Times New Roman" w:hAnsi="Times New Roman"/>
          <w:sz w:val="28"/>
          <w:szCs w:val="28"/>
        </w:rPr>
        <w:t xml:space="preserve">A mini Certificate Authority issues every vehicle (the leader and each follower) a Dilithium-signed certificate binding its identity string (e.g. “follower-1”) to its Dilithium public key. The leader and a follower then run a three-message mutual-authentication handshake:</w:t>
      </w:r>
    </w:p>
    <w:p>
      <w:pPr>
        <w:spacing w:after="60"/>
        <w:jc w:val="both"/>
      </w:pPr>
      <w:r>
        <w:rPr>
          <w:rFonts w:ascii="Times New Roman" w:cs="Times New Roman" w:eastAsia="Times New Roman" w:hAnsi="Times New Roman"/>
          <w:sz w:val="28"/>
          <w:szCs w:val="28"/>
        </w:rPr>
        <w:t xml:space="preserve">1.  leader → follower : HELLO + nonce</w:t>
      </w:r>
    </w:p>
    <w:p>
      <w:pPr>
        <w:spacing w:after="60"/>
        <w:jc w:val="both"/>
      </w:pPr>
      <w:r>
        <w:rPr>
          <w:rFonts w:ascii="Times New Roman" w:cs="Times New Roman" w:eastAsia="Times New Roman" w:hAnsi="Times New Roman"/>
          <w:sz w:val="28"/>
          <w:szCs w:val="28"/>
        </w:rPr>
        <w:t xml:space="preserve">2.  follower → leader : follower certificate + ephemeral Kyber public key + Dilithium signature over the transcript</w:t>
      </w:r>
    </w:p>
    <w:p>
      <w:pPr>
        <w:spacing w:after="160"/>
        <w:jc w:val="both"/>
      </w:pPr>
      <w:r>
        <w:rPr>
          <w:rFonts w:ascii="Times New Roman" w:cs="Times New Roman" w:eastAsia="Times New Roman" w:hAnsi="Times New Roman"/>
          <w:sz w:val="28"/>
          <w:szCs w:val="28"/>
        </w:rPr>
        <w:t xml:space="preserve">3.  leader → follower : leader certificate + Kyber ciphertext (encapsulated shared secret) + Dilithium signature over the transcript</w:t>
      </w:r>
    </w:p>
    <w:p>
      <w:pPr>
        <w:spacing w:after="160" w:line="360" w:lineRule="auto"/>
        <w:jc w:val="both"/>
      </w:pPr>
      <w:r>
        <w:rPr>
          <w:rFonts w:ascii="Times New Roman" w:cs="Times New Roman" w:eastAsia="Times New Roman" w:hAnsi="Times New Roman"/>
          <w:sz w:val="28"/>
          <w:szCs w:val="28"/>
        </w:rPr>
        <w:t xml:space="preserve">Because both signatures cover the handshake nonce, the exchange is bound to that specific session and a captured handshake cannot be replayed to start a new one. Once each side has verified the other's CA-signed certificate, the leader encapsulates a shared secret against the follower's Kyber-768 public key, and both sides independently derive the same AES-256-GCM session key from that secret via HKDF-SHA256. Every platoon command from that point on is a single AEAD-encrypted UDP datagram; each session tracks a monotonically increasing sequence number so a captured and resent packet is detected and rejected rather than executed twice.</w:t>
      </w:r>
    </w:p>
    <w:p>
      <w:pPr>
        <w:spacing w:after="160" w:line="360" w:lineRule="auto"/>
        <w:jc w:val="both"/>
      </w:pPr>
      <w:r>
        <w:rPr>
          <w:rFonts w:ascii="Times New Roman" w:cs="Times New Roman" w:eastAsia="Times New Roman" w:hAnsi="Times New Roman"/>
          <w:sz w:val="28"/>
          <w:szCs w:val="28"/>
        </w:rPr>
        <w:t xml:space="preserve">The design is deliberately crypto-agile: config.py centralises the KEM and signature algorithm choice, so the whole platoon can move to a different NIST security level (e.g. Kyber-1024 / Dilithium5 for a higher security margin, or Kyber-512 / Dilithium2 for lower overhead) with a one-line change, which is what makes head-to-head benchmarking of parameter sets possible without touching the protocol code.</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6.  BLOCK DIAGRAM</w:t>
      </w:r>
    </w:p>
    <w:p>
      <w:pPr>
        <w:spacing w:after="160" w:line="360" w:lineRule="auto"/>
        <w:jc w:val="both"/>
      </w:pPr>
      <w:r>
        <w:rPr>
          <w:rFonts w:ascii="Times New Roman" w:cs="Times New Roman" w:eastAsia="Times New Roman" w:hAnsi="Times New Roman"/>
          <w:sz w:val="28"/>
          <w:szCs w:val="28"/>
        </w:rPr>
        <w:t xml:space="preserve">Figure 6.1 shows the overall block structure of the system: a mini Certificate Authority provisions Dilithium-signed identities to the leader and every follower; the leader and each follower independently perform the Kyber/Dilithium handshake to establish a secure session; all platoon commands and acknowledgements then travel as AES-256-GCM encrypted UDP datagrams with replay protection; and every exchange feeds both a local telemetry/benchmark dashboard and a live FastAPI/WebSocket web dashboard used to visualise attack-demonstration scenarios in real time.</w:t>
      </w:r>
    </w:p>
    <w:p>
      <w:pPr>
        <w:spacing w:after="8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6.1  Block Diagram of the Proposed System</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7.  METHODOLOGY</w:t>
      </w:r>
    </w:p>
    <w:p>
      <w:pPr>
        <w:pStyle w:val="Heading2"/>
        <w:spacing w:after="140" w:before="200" w:line="360" w:lineRule="auto"/>
      </w:pPr>
      <w:r>
        <w:rPr>
          <w:rFonts w:ascii="Times New Roman" w:cs="Times New Roman" w:eastAsia="Times New Roman" w:hAnsi="Times New Roman"/>
          <w:b/>
          <w:bCs/>
          <w:sz w:val="28"/>
          <w:szCs w:val="28"/>
        </w:rPr>
        <w:t xml:space="preserve">7.1  Implementation Stack</w:t>
      </w:r>
    </w:p>
    <w:p>
      <w:pPr>
        <w:spacing w:after="160" w:line="360" w:lineRule="auto"/>
        <w:jc w:val="both"/>
      </w:pPr>
      <w:r>
        <w:rPr>
          <w:rFonts w:ascii="Times New Roman" w:cs="Times New Roman" w:eastAsia="Times New Roman" w:hAnsi="Times New Roman"/>
          <w:sz w:val="28"/>
          <w:szCs w:val="28"/>
        </w:rPr>
        <w:t xml:space="preserve">The system is implemented entirely in Python 3, using the `pqcrypto` library (PQClean/Rust bindings) for Kyber and Dilithium, the `cryptography` library for AES-256-GCM and HKDF, `matplotlib` for the benchmark dashboard, and FastAPI with WebSockets for the live monitoring dashboard, whose frontend is a React/Vite/Tailwind single-page application. The codebase is organised by concern: `crypto/` wraps the four primitives; `identity/pki.py` implements the mini CA; `protocol/` implements the handshake, the post-handshake session (including replay protection), and wire-format packing; `vehicles/vehicle.py` drives the UDP handshake and secure command channel for a single vehicle; `attacks/mitm.py` implements a standalone man-in-the-middle attacker used only for the demonstration; and `ota/` implements a Dilithium-signed firmware-update flow.</w:t>
      </w:r>
    </w:p>
    <w:p>
      <w:pPr>
        <w:pStyle w:val="Heading2"/>
        <w:spacing w:after="140" w:before="200" w:line="360" w:lineRule="auto"/>
      </w:pPr>
      <w:r>
        <w:rPr>
          <w:rFonts w:ascii="Times New Roman" w:cs="Times New Roman" w:eastAsia="Times New Roman" w:hAnsi="Times New Roman"/>
          <w:b/>
          <w:bCs/>
          <w:sz w:val="28"/>
          <w:szCs w:val="28"/>
        </w:rPr>
        <w:t xml:space="preserve">7.2  Simulation and Testing Approach</w:t>
      </w:r>
    </w:p>
    <w:p>
      <w:pPr>
        <w:spacing w:after="160" w:line="360" w:lineRule="auto"/>
        <w:jc w:val="both"/>
      </w:pPr>
      <w:r>
        <w:rPr>
          <w:rFonts w:ascii="Times New Roman" w:cs="Times New Roman" w:eastAsia="Times New Roman" w:hAnsi="Times New Roman"/>
          <w:sz w:val="28"/>
          <w:szCs w:val="28"/>
        </w:rPr>
        <w:t xml:space="preserve">`main.py` runs the live interactive simulation: it provisions certificates for one leader and N followers, starts each follower as a UDP server thread, connects the leader to every follower through the full handshake, and then accepts typed platoon commands (e.g. “SET GAP 20m”, “BRAKE”) at a prompt, recording the round-trip time of every command before rendering a benchmark dashboard on exit.</w:t>
      </w:r>
    </w:p>
    <w:p>
      <w:pPr>
        <w:spacing w:after="160" w:line="360" w:lineRule="auto"/>
        <w:jc w:val="both"/>
      </w:pPr>
      <w:r>
        <w:rPr>
          <w:rFonts w:ascii="Times New Roman" w:cs="Times New Roman" w:eastAsia="Times New Roman" w:hAnsi="Times New Roman"/>
          <w:sz w:val="28"/>
          <w:szCs w:val="28"/>
        </w:rPr>
        <w:t xml:space="preserve">`demo.py` is the verification harness: it narrates a normal handshake step by step, and then stages four attack scenarios so that the protocol's guarantees can be checked directly rather than assumed — a man-in-the-middle attempt (blocked when Dilithium identity checks are on, and shown succeeding when they are deliberately switched off, to make the value of the identity layer concrete), a replay of a captured packet (rejected by the session's sequence-number check), an in-flight bit-flip on a datagram (rejected by the AES-GCM authentication tag), and a forged firmware image pushed to the OTA updater (rejected because it is not signed by the CA-trusted Dilithium key). All four scenarios are also exposed as REST-triggered events on the FastAPI dashboard backend, which streams each step to the frontend over a WebSocket so the class of attack and the system's response can be observed live rather than only read from console output.</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8.  CONCLUSION</w:t>
      </w:r>
    </w:p>
    <w:p>
      <w:pPr>
        <w:spacing w:after="160" w:line="360" w:lineRule="auto"/>
        <w:jc w:val="both"/>
      </w:pPr>
      <w:r>
        <w:rPr>
          <w:rFonts w:ascii="Times New Roman" w:cs="Times New Roman" w:eastAsia="Times New Roman" w:hAnsi="Times New Roman"/>
          <w:sz w:val="28"/>
          <w:szCs w:val="28"/>
        </w:rPr>
        <w:t xml:space="preserve">This project shows that a vehicle platoon can be secured against both classical and quantum adversaries using only standard NIST post-quantum primitives — Kyber for key exchange, Dilithium for identity, AES-256-GCM for the data channel — running over ordinary UDP, without the dedicated optical-fibre QKD hardware that the base paper's hybrid design requires. The attack demonstrations confirm, rather than merely assert, each protocol guarantee: disabling the Dilithium identity layer while leaving Kyber/AES-GCM encryption in place is enough for a man-in-the-middle to fully take over the channel, which is the concrete argument for why authentication and encryption must both be present, not either alone.</w:t>
      </w:r>
    </w:p>
    <w:p>
      <w:pPr>
        <w:spacing w:after="160" w:line="360" w:lineRule="auto"/>
        <w:jc w:val="both"/>
      </w:pPr>
      <w:r>
        <w:rPr>
          <w:rFonts w:ascii="Times New Roman" w:cs="Times New Roman" w:eastAsia="Times New Roman" w:hAnsi="Times New Roman"/>
          <w:sz w:val="28"/>
          <w:szCs w:val="28"/>
        </w:rPr>
        <w:t xml:space="preserve">The work also has three limitations that were deliberately scoped out rather than overlooked, and that mark the natural next steps: Dilithium3 certificates exceed the standard 1500-byte Ethernet MTU (against roughly 784 bytes for an equivalent RSA certificate), so a production deployment would need to fragment the handshake or adopt a lighter parameter set for the most latency-sensitive messages; the cryptography runs in pure Python rather than on hardware-accelerated silicon such as an ESP32, which is acceptable for a simulation but not for a production embedded target; and the system has been validated only over loopback UDP on a single machine, with real 5G-V2X radio interference and highway-scale multi-vehicle traffic left for a hardware-in-the-loop follow-on phase.</w:t>
      </w:r>
    </w:p>
    <w:p>
      <w:r>
        <w:br w:type="page"/>
      </w:r>
    </w:p>
    <w:p>
      <w:pPr>
        <w:spacing w:after="260"/>
        <w:jc w:val="center"/>
      </w:pPr>
      <w:r>
        <w:rPr>
          <w:rFonts w:ascii="Times New Roman" w:cs="Times New Roman" w:eastAsia="Times New Roman" w:hAnsi="Times New Roman"/>
          <w:b/>
          <w:bCs/>
          <w:sz w:val="30"/>
          <w:szCs w:val="30"/>
        </w:rPr>
        <w:t xml:space="preserve">APPENDICES</w:t>
      </w:r>
    </w:p>
    <w:p>
      <w:pPr>
        <w:spacing w:after="100"/>
        <w:jc w:val="both"/>
      </w:pPr>
      <w:r>
        <w:rPr>
          <w:rFonts w:ascii="Times New Roman" w:cs="Times New Roman" w:eastAsia="Times New Roman" w:hAnsi="Times New Roman"/>
          <w:b/>
          <w:bCs/>
          <w:sz w:val="28"/>
          <w:szCs w:val="28"/>
        </w:rPr>
        <w:t xml:space="preserve">APPENDIX 1 – System Architecture Diagram</w:t>
      </w:r>
    </w:p>
    <w:p>
      <w:pPr>
        <w:spacing w:after="160" w:line="360" w:lineRule="auto"/>
        <w:jc w:val="both"/>
      </w:pPr>
      <w:r>
        <w:rPr>
          <w:rFonts w:ascii="Times New Roman" w:cs="Times New Roman" w:eastAsia="Times New Roman" w:hAnsi="Times New Roman"/>
          <w:sz w:val="28"/>
          <w:szCs w:val="28"/>
        </w:rPr>
        <w:t xml:space="preserve">[Insert the handshake/system architecture diagram from SystemArchitecture.pdf here.]</w:t>
      </w:r>
    </w:p>
    <w:p>
      <w:r>
        <w:t xml:space="preserve"/>
      </w:r>
    </w:p>
    <w:p>
      <w:pPr>
        <w:spacing w:after="100"/>
        <w:jc w:val="both"/>
      </w:pPr>
      <w:r>
        <w:rPr>
          <w:rFonts w:ascii="Times New Roman" w:cs="Times New Roman" w:eastAsia="Times New Roman" w:hAnsi="Times New Roman"/>
          <w:b/>
          <w:bCs/>
          <w:sz w:val="28"/>
          <w:szCs w:val="28"/>
        </w:rPr>
        <w:t xml:space="preserve">APPENDIX 2 – Sample Console Output</w:t>
      </w:r>
    </w:p>
    <w:p>
      <w:pPr>
        <w:spacing w:after="160" w:line="360" w:lineRule="auto"/>
        <w:jc w:val="both"/>
      </w:pPr>
      <w:r>
        <w:rPr>
          <w:rFonts w:ascii="Times New Roman" w:cs="Times New Roman" w:eastAsia="Times New Roman" w:hAnsi="Times New Roman"/>
          <w:sz w:val="28"/>
          <w:szCs w:val="28"/>
        </w:rPr>
        <w:t xml:space="preserve">[Insert a captured console transcript of `python demo.py` and `python demo.py mitm off` here, showing the narrated handshake and the MITM takeover.]</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200"/>
      </w:tblGrid>
      <w:tr>
        <w:tc>
          <w:tcPr>
            <w:tcW w:type="dxa" w:w="1100"/>
            <w:tcBorders>
              <w:top w:val="none" w:color="FFFFFF" w:sz="0"/>
              <w:left w:val="none" w:color="FFFFFF" w:sz="0"/>
              <w:bottom w:val="none" w:color="FFFFFF" w:sz="0"/>
              <w:right w:val="none" w:color="FFFFFF" w:sz="0"/>
            </w:tcBorders>
            <w:vAlign w:val="center"/>
          </w:tcPr>
          <w:p>
            <w:pPr>
              <w:jc w:val="center"/>
            </w:pPr>
            <w:r>
              <w:drawing>
                <wp:inline distT="0" distB="0" distL="0" distR="0">
                  <wp:extent cx="533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495300"/>
                          </a:xfrm>
                          <a:prstGeom prst="rect">
                            <a:avLst/>
                          </a:prstGeom>
                        </pic:spPr>
                      </pic:pic>
                    </a:graphicData>
                  </a:graphic>
                </wp:inline>
              </w:drawing>
            </w:r>
          </w:p>
        </w:tc>
        <w:tc>
          <w:tcPr>
            <w:tcW w:type="dxa" w:w="5700"/>
            <w:tcBorders>
              <w:top w:val="none" w:color="FFFFFF" w:sz="0"/>
              <w:left w:val="none" w:color="FFFFFF" w:sz="0"/>
              <w:bottom w:val="none" w:color="FFFFFF" w:sz="0"/>
              <w:right w:val="none" w:color="FFFFFF" w:sz="0"/>
            </w:tcBorders>
            <w:vAlign w:val="center"/>
          </w:tcPr>
          <w:p>
            <w:pPr>
              <w:spacing w:after="20"/>
              <w:jc w:val="left"/>
            </w:pPr>
            <w:r>
              <w:rPr>
                <w:rFonts w:ascii="Times New Roman" w:cs="Times New Roman" w:eastAsia="Times New Roman" w:hAnsi="Times New Roman"/>
                <w:b/>
                <w:bCs/>
                <w:sz w:val="23"/>
                <w:szCs w:val="23"/>
              </w:rPr>
              <w:t xml:space="preserve">SRI KRISHNA COLLEGE OF TECHNOLOGY</w:t>
            </w:r>
          </w:p>
          <w:p>
            <w:pPr>
              <w:spacing w:after="10"/>
              <w:jc w:val="left"/>
            </w:pPr>
            <w:r>
              <w:rPr>
                <w:rFonts w:ascii="Times New Roman" w:cs="Times New Roman" w:eastAsia="Times New Roman" w:hAnsi="Times New Roman"/>
                <w:sz w:val="19"/>
                <w:szCs w:val="19"/>
              </w:rPr>
              <w:t xml:space="preserve">(An Autonomous Institution)</w:t>
            </w:r>
          </w:p>
          <w:p>
            <w:pPr>
              <w:spacing w:after="10"/>
              <w:jc w:val="left"/>
            </w:pPr>
            <w:r>
              <w:rPr>
                <w:rFonts w:ascii="Times New Roman" w:cs="Times New Roman" w:eastAsia="Times New Roman" w:hAnsi="Times New Roman"/>
                <w:sz w:val="19"/>
                <w:szCs w:val="19"/>
              </w:rPr>
              <w:t xml:space="preserve">Affiliated to Anna University and Approved by AICTE</w:t>
            </w:r>
          </w:p>
          <w:p>
            <w:pPr>
              <w:spacing w:after="0"/>
              <w:jc w:val="left"/>
            </w:pPr>
            <w:r>
              <w:rPr>
                <w:rFonts w:ascii="Times New Roman" w:cs="Times New Roman" w:eastAsia="Times New Roman" w:hAnsi="Times New Roman"/>
                <w:sz w:val="19"/>
                <w:szCs w:val="19"/>
              </w:rPr>
              <w:t xml:space="preserve">KOVAIPUDUR, COIMBATORE – 641 042</w:t>
            </w:r>
          </w:p>
        </w:tc>
        <w:tc>
          <w:tcPr>
            <w:tcW w:type="dxa" w:w="2200"/>
            <w:tcBorders>
              <w:top w:val="none" w:color="FFFFFF" w:sz="0"/>
              <w:left w:val="none" w:color="FFFFFF" w:sz="0"/>
              <w:bottom w:val="none" w:color="FFFFFF" w:sz="0"/>
              <w:right w:val="none" w:color="FFFFFF" w:sz="0"/>
            </w:tcBorders>
            <w:vAlign w:val="center"/>
          </w:tcPr>
          <w:p>
            <w:pPr>
              <w:jc w:val="center"/>
            </w:pPr>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228600"/>
                          </a:xfrm>
                          <a:prstGeom prst="rect">
                            <a:avLst/>
                          </a:prstGeom>
                        </pic:spPr>
                      </pic:pic>
                    </a:graphicData>
                  </a:graphic>
                </wp:inline>
              </w:drawing>
            </w:r>
          </w:p>
        </w:tc>
      </w:tr>
    </w:tbl>
    <w:p>
      <w:r>
        <w:t xml:space="preserve"/>
      </w:r>
    </w:p>
    <w:p>
      <w:pPr>
        <w:spacing w:after="260"/>
        <w:jc w:val="center"/>
      </w:pPr>
      <w:r>
        <w:rPr>
          <w:rFonts w:ascii="Times New Roman" w:cs="Times New Roman" w:eastAsia="Times New Roman" w:hAnsi="Times New Roman"/>
          <w:b/>
          <w:bCs/>
          <w:sz w:val="30"/>
          <w:szCs w:val="30"/>
        </w:rPr>
        <w:t xml:space="preserve">SUSTAINABLE DEVELOPMENT GOALS MAPPING</w:t>
      </w:r>
    </w:p>
    <w:p>
      <w:pPr>
        <w:spacing w:after="200" w:line="480" w:lineRule="auto"/>
        <w:jc w:val="both"/>
      </w:pPr>
      <w:r>
        <w:rPr>
          <w:rFonts w:ascii="Times New Roman" w:cs="Times New Roman" w:eastAsia="Times New Roman" w:hAnsi="Times New Roman"/>
          <w:sz w:val="28"/>
          <w:szCs w:val="28"/>
        </w:rPr>
        <w:t xml:space="preserve">The Sustainable Development Goals are a collection of 17 global goals adopted by the United Nations General Assembly in 2015 as a blueprint to achieve a better and more sustainable future for all by 2030. This project is mapped to the goals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9E2F3" w:color="auto" w:val="clear"/>
          </w:tcPr>
          <w:p>
            <w:pPr>
              <w:spacing w:after="0"/>
              <w:jc w:val="both"/>
            </w:pPr>
            <w:r>
              <w:rPr>
                <w:rFonts w:ascii="Times New Roman" w:cs="Times New Roman" w:eastAsia="Times New Roman" w:hAnsi="Times New Roman"/>
                <w:b/>
                <w:bCs/>
                <w:sz w:val="28"/>
                <w:szCs w:val="28"/>
              </w:rPr>
              <w:t xml:space="preserve">Questions</w:t>
            </w:r>
          </w:p>
        </w:tc>
        <w:tc>
          <w:tcPr>
            <w:tcW w:type="dxa" w:w="5000"/>
            <w:shd w:fill="D9E2F3" w:color="auto" w:val="clear"/>
          </w:tcPr>
          <w:p>
            <w:pPr>
              <w:spacing w:after="0"/>
              <w:jc w:val="both"/>
            </w:pPr>
            <w:r>
              <w:rPr>
                <w:rFonts w:ascii="Times New Roman" w:cs="Times New Roman" w:eastAsia="Times New Roman" w:hAnsi="Times New Roman"/>
                <w:b/>
                <w:bCs/>
                <w:sz w:val="28"/>
                <w:szCs w:val="28"/>
              </w:rPr>
              <w:t xml:space="preserve">Answer</w:t>
            </w:r>
          </w:p>
        </w:tc>
      </w:tr>
      <w:tr>
        <w:tc>
          <w:tcPr>
            <w:tcW w:type="dxa" w:w="4000"/>
          </w:tcPr>
          <w:p>
            <w:pPr>
              <w:spacing w:after="0"/>
              <w:jc w:val="left"/>
            </w:pPr>
            <w:r>
              <w:rPr>
                <w:rFonts w:ascii="Times New Roman" w:cs="Times New Roman" w:eastAsia="Times New Roman" w:hAnsi="Times New Roman"/>
                <w:sz w:val="28"/>
                <w:szCs w:val="28"/>
              </w:rPr>
              <w:t xml:space="preserve">Which SDGs does the project directly address?</w:t>
            </w:r>
          </w:p>
        </w:tc>
        <w:tc>
          <w:tcPr>
            <w:tcW w:type="dxa" w:w="5000"/>
          </w:tcPr>
          <w:p>
            <w:pPr>
              <w:spacing w:after="0"/>
              <w:jc w:val="left"/>
            </w:pPr>
            <w:r>
              <w:rPr>
                <w:rFonts w:ascii="Times New Roman" w:cs="Times New Roman" w:eastAsia="Times New Roman" w:hAnsi="Times New Roman"/>
                <w:sz w:val="28"/>
                <w:szCs w:val="28"/>
              </w:rPr>
              <w:t xml:space="preserve">SDG 9 – Industry, Innovation and Infrastructure; SDG 11 – Sustainable Cities and Communities.</w:t>
            </w:r>
          </w:p>
        </w:tc>
      </w:tr>
      <w:tr>
        <w:tc>
          <w:tcPr>
            <w:tcW w:type="dxa" w:w="4000"/>
          </w:tcPr>
          <w:p>
            <w:pPr>
              <w:spacing w:after="0"/>
              <w:jc w:val="left"/>
            </w:pPr>
            <w:r>
              <w:rPr>
                <w:rFonts w:ascii="Times New Roman" w:cs="Times New Roman" w:eastAsia="Times New Roman" w:hAnsi="Times New Roman"/>
                <w:sz w:val="28"/>
                <w:szCs w:val="28"/>
              </w:rPr>
              <w:t xml:space="preserve">What strategies or actions are being implemented to achieve these goals?</w:t>
            </w:r>
          </w:p>
        </w:tc>
        <w:tc>
          <w:tcPr>
            <w:tcW w:type="dxa" w:w="5000"/>
          </w:tcPr>
          <w:p>
            <w:pPr>
              <w:spacing w:after="0"/>
              <w:jc w:val="left"/>
            </w:pPr>
            <w:r>
              <w:rPr>
                <w:rFonts w:ascii="Times New Roman" w:cs="Times New Roman" w:eastAsia="Times New Roman" w:hAnsi="Times New Roman"/>
                <w:sz w:val="28"/>
                <w:szCs w:val="28"/>
              </w:rPr>
              <w:t xml:space="preserve">Securing V2V platoon communication against quantum-era attacks strengthens the resilience of intelligent transport infrastructure (SDG 9) and supports safer, more efficient road transport as cities adopt autonomous and semi-autonomous vehicles (SDG 11).</w:t>
            </w:r>
          </w:p>
        </w:tc>
      </w:tr>
      <w:tr>
        <w:tc>
          <w:tcPr>
            <w:tcW w:type="dxa" w:w="4000"/>
          </w:tcPr>
          <w:p>
            <w:pPr>
              <w:spacing w:after="0"/>
              <w:jc w:val="left"/>
            </w:pPr>
            <w:r>
              <w:rPr>
                <w:rFonts w:ascii="Times New Roman" w:cs="Times New Roman" w:eastAsia="Times New Roman" w:hAnsi="Times New Roman"/>
                <w:sz w:val="28"/>
                <w:szCs w:val="28"/>
              </w:rPr>
              <w:t xml:space="preserve">How is progress measured and reported in relation to the SDGs?</w:t>
            </w:r>
          </w:p>
        </w:tc>
        <w:tc>
          <w:tcPr>
            <w:tcW w:type="dxa" w:w="5000"/>
          </w:tcPr>
          <w:p>
            <w:pPr>
              <w:spacing w:after="0"/>
              <w:jc w:val="left"/>
            </w:pPr>
            <w:r>
              <w:rPr>
                <w:rFonts w:ascii="Times New Roman" w:cs="Times New Roman" w:eastAsia="Times New Roman" w:hAnsi="Times New Roman"/>
                <w:sz w:val="28"/>
                <w:szCs w:val="28"/>
              </w:rPr>
              <w:t xml:space="preserve">[To be completed by the team — e.g. handshake latency and attack-blocking results recorded on the benchmark dashboard.]</w:t>
            </w:r>
          </w:p>
        </w:tc>
      </w:tr>
      <w:tr>
        <w:tc>
          <w:tcPr>
            <w:tcW w:type="dxa" w:w="4000"/>
          </w:tcPr>
          <w:p>
            <w:pPr>
              <w:spacing w:after="0"/>
              <w:jc w:val="left"/>
            </w:pPr>
            <w:r>
              <w:rPr>
                <w:rFonts w:ascii="Times New Roman" w:cs="Times New Roman" w:eastAsia="Times New Roman" w:hAnsi="Times New Roman"/>
                <w:sz w:val="28"/>
                <w:szCs w:val="28"/>
              </w:rPr>
              <w:t xml:space="preserve">How were these goals identified as relevant to the project's objectives?</w:t>
            </w:r>
          </w:p>
        </w:tc>
        <w:tc>
          <w:tcPr>
            <w:tcW w:type="dxa" w:w="5000"/>
          </w:tcPr>
          <w:p>
            <w:pPr>
              <w:spacing w:after="0"/>
              <w:jc w:val="left"/>
            </w:pPr>
            <w:r>
              <w:rPr>
                <w:rFonts w:ascii="Times New Roman" w:cs="Times New Roman" w:eastAsia="Times New Roman" w:hAnsi="Times New Roman"/>
                <w:sz w:val="28"/>
                <w:szCs w:val="28"/>
              </w:rPr>
              <w:t xml:space="preserve">[To be completed by the team.]</w:t>
            </w:r>
          </w:p>
        </w:tc>
      </w:tr>
      <w:tr>
        <w:tc>
          <w:tcPr>
            <w:tcW w:type="dxa" w:w="4000"/>
          </w:tcPr>
          <w:p>
            <w:pPr>
              <w:spacing w:after="0"/>
              <w:jc w:val="left"/>
            </w:pPr>
            <w:r>
              <w:rPr>
                <w:rFonts w:ascii="Times New Roman" w:cs="Times New Roman" w:eastAsia="Times New Roman" w:hAnsi="Times New Roman"/>
                <w:sz w:val="28"/>
                <w:szCs w:val="28"/>
              </w:rPr>
              <w:t xml:space="preserve">Are there any partnerships or collaborations in place to enhance this impact?</w:t>
            </w:r>
          </w:p>
        </w:tc>
        <w:tc>
          <w:tcPr>
            <w:tcW w:type="dxa" w:w="5000"/>
          </w:tcPr>
          <w:p>
            <w:pPr>
              <w:spacing w:after="0"/>
              <w:jc w:val="left"/>
            </w:pPr>
            <w:r>
              <w:rPr>
                <w:rFonts w:ascii="Times New Roman" w:cs="Times New Roman" w:eastAsia="Times New Roman" w:hAnsi="Times New Roman"/>
                <w:sz w:val="28"/>
                <w:szCs w:val="28"/>
              </w:rPr>
              <w:t xml:space="preserve">[To be completed by the team.]</w:t>
            </w:r>
          </w:p>
        </w:tc>
      </w:tr>
    </w:tbl>
    <w:p>
      <w:r>
        <w:br w:type="page"/>
      </w:r>
    </w:p>
    <w:p>
      <w:pPr>
        <w:spacing w:after="260"/>
        <w:jc w:val="center"/>
      </w:pPr>
      <w:r>
        <w:rPr>
          <w:rFonts w:ascii="Times New Roman" w:cs="Times New Roman" w:eastAsia="Times New Roman" w:hAnsi="Times New Roman"/>
          <w:b/>
          <w:bCs/>
          <w:sz w:val="30"/>
          <w:szCs w:val="30"/>
        </w:rPr>
        <w:t xml:space="preserve">REFERENCES</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García, [Initials]. et al. (2024) ‘Quantum-resistant Transport Layer Security’, [Journal / Conference name, volume, pages — to be completed by the team from the original source].</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National Institute of Standards and Technology (2024) FIPS 203: Module-Lattice-Based Key-Encapsulation Mechanism Standard, U.S. Department of Commerce.</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National Institute of Standards and Technology (2024) FIPS 204: Module-Lattice-Based Digital Signature Standard, U.S. Department of Commerce.</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National Institute of Standards and Technology (2022) NIST Announces First Four Quantum-Resistant Cryptographic Algorithms.</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PQClean Project, pqcrypto (Python bindings for PQClean post-quantum cryptographic implementations), available at: https://pypi.org/project/pqcrypto/.</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McGrew, D. and Viega, J. (2004) ‘The Galois/Counter Mode of Operation (GCM)’, NIST Special Publication 800-38D.</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Krawczyk, H. and Eronen, P. (2010) ‘HMAC-based Extract-and-Expand Key Derivation Function (HKDF)’, RFC 5869, IETF.</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United Nations (2015) Transforming our World: the 2030 Agenda for Sustainable Development, UN General Assembly Resolution A/RES/70/1.</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pPr>
    <w:rPr>
      <w:rFonts w:ascii="Times New Roman" w:cs="Times New Roman" w:eastAsia="Times New Roman" w:hAnsi="Times New Roman"/>
      <w:b/>
      <w:bCs/>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23a3fc78d4868cb60b4f3bf43f09425c2692d1a.png"/><Relationship Id="rId10" Type="http://schemas.openxmlformats.org/officeDocument/2006/relationships/image" Target="media/0dc8c6911b3ce0e5e4799422db59c742019fff41.jpg"/><Relationship Id="rId11" Type="http://schemas.openxmlformats.org/officeDocument/2006/relationships/image" Target="media/9a0852c1e8ac972ab26dc9db0d2e7db0ea7b2497.png"/><Relationship Id="rId12" Type="http://schemas.openxmlformats.org/officeDocument/2006/relationships/image" Target="media/77e3338249f407e9fc666e4c4d9c9a768e63eff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2026-09-15T18:37:16.069Z</dcterms:created>
  <dcterms:modified xsi:type="dcterms:W3CDTF">2026-09-15T18:37:16.069Z</dcterms:modified>
</cp:coreProperties>
</file>

<file path=docProps/custom.xml><?xml version="1.0" encoding="utf-8"?>
<Properties xmlns="http://schemas.openxmlformats.org/officeDocument/2006/custom-properties" xmlns:vt="http://schemas.openxmlformats.org/officeDocument/2006/docPropsVTypes"/>
</file>