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PAPILLON FINAL QUALITY MODEL</w:t>
        <w:br w:type="textWrapping"/>
        <w:t xml:space="preserve">AI-Driven SOC Platform</w:t>
      </w:r>
    </w:p>
    <w:p w:rsidR="00000000" w:rsidDel="00000000" w:rsidP="00000000" w:rsidRDefault="00000000" w:rsidRPr="00000000" w14:paraId="0000000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Introduction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presents the Final Quality Model of the AI-Driven Cybersecurity Platform for Intelligent Threat Detection and Analysis. It evaluates the actual quality characteristics of the delivered system at project completion, based on measured results, verification activities, and test evidence.</w:t>
        <w:br w:type="textWrapping"/>
        <w:br w:type="textWrapping"/>
        <w:t xml:space="preserve">Unlike the Quality Management Plan (QMP), which defines how quality would be managed during development, this document provides a product-oriented, final assessment of quality attributes and their fulfillment status.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is derived from:</w:t>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 v2.0</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SDD v1.1</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 v1.0</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STP v1.0</w:t>
        <w:br w:type="textWrapping"/>
      </w:r>
    </w:p>
    <w:p w:rsidR="00000000" w:rsidDel="00000000" w:rsidP="00000000" w:rsidRDefault="00000000" w:rsidRPr="00000000" w14:paraId="0000000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QMP v1.0</w:t>
      </w:r>
      <w:r w:rsidDel="00000000" w:rsidR="00000000" w:rsidRPr="00000000">
        <w:rPr>
          <w:rtl w:val="0"/>
        </w:rPr>
      </w:r>
    </w:p>
    <w:p w:rsidR="00000000" w:rsidDel="00000000" w:rsidP="00000000" w:rsidRDefault="00000000" w:rsidRPr="00000000" w14:paraId="0000000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Reference Quality Standard</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quality evaluation is based on ISO/IEC 25010:2011 Software Product Quality Model. The following characteristics are evaluated: Functional Suitability, Performance Efficiency, Reliability, Security, Maintainability, Usability, and Compatibility.</w:t>
      </w:r>
    </w:p>
    <w:p w:rsidR="00000000" w:rsidDel="00000000" w:rsidP="00000000" w:rsidRDefault="00000000" w:rsidRPr="00000000" w14:paraId="0000000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Functional Suitability</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functional requirements (FR1–FR10) defined in the SRS are implemented and verified through system and end-to-end testing. Requirement traceability is fully maintained.</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tbl>
      <w:tblPr>
        <w:tblStyle w:val="Table1"/>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2301425661913"/>
        <w:gridCol w:w="2089.6130346232176"/>
        <w:gridCol w:w="2604.317718940937"/>
        <w:gridCol w:w="1178.9816700610997"/>
        <w:gridCol w:w="769.857433808554"/>
        <w:tblGridChange w:id="0">
          <w:tblGrid>
            <w:gridCol w:w="1997.2301425661913"/>
            <w:gridCol w:w="2089.6130346232176"/>
            <w:gridCol w:w="2604.317718940937"/>
            <w:gridCol w:w="1178.9816700610997"/>
            <w:gridCol w:w="769.8574338085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Measurement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 Coverage (FR1–FR10)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Requirement-to-module traceability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721.8505859375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critical functional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&amp; E2E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P0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bl>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Performance Efficiency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Gungsuh" w:cs="Gungsuh" w:eastAsia="Gungsuh" w:hAnsi="Gungsuh"/>
          <w:rtl w:val="0"/>
        </w:rPr>
        <w:t xml:space="preserve">IDS alert-to-dashboard latency meets the p95 ≤ 2 seconds target. Malware inference latency meets the p95 ≤ 5 seconds target when GPU is available. Dashboard updates occur within 3 seconds under standard load.</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2.5661914460284"/>
        <w:gridCol w:w="796.2525458248473"/>
        <w:gridCol w:w="1640.8961303462322"/>
        <w:gridCol w:w="2010.427698574338"/>
        <w:gridCol w:w="769.857433808554"/>
        <w:tblGridChange w:id="0">
          <w:tblGrid>
            <w:gridCol w:w="3422.5661914460284"/>
            <w:gridCol w:w="796.2525458248473"/>
            <w:gridCol w:w="1640.8961303462322"/>
            <w:gridCol w:w="2010.427698574338"/>
            <w:gridCol w:w="769.85743380855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Measured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IDS alert → dashboard latency (p95)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2s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2s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End-to-end flow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Malware inference latency (p95, 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5s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5s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Performance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update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3s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3s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UI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bl>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Reliability</w:t>
      </w:r>
    </w:p>
    <w:p w:rsidR="00000000" w:rsidDel="00000000" w:rsidP="00000000" w:rsidRDefault="00000000" w:rsidRPr="00000000" w14:paraId="0000003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The system demonstrates stable operation with automatic recovery of worker and service failures. Retry mechanisms and fault tolerance are implemented via message queues and worker schedulers.</w:t>
      </w: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20633299285"/>
        <w:gridCol w:w="1685.6384065372831"/>
        <w:gridCol w:w="2704.964249233912"/>
        <w:gridCol w:w="1314.9744637385086"/>
        <w:gridCol w:w="772.2165474974464"/>
        <w:tblGridChange w:id="0">
          <w:tblGrid>
            <w:gridCol w:w="2162.20633299285"/>
            <w:gridCol w:w="1685.6384065372831"/>
            <w:gridCol w:w="2704.964249233912"/>
            <w:gridCol w:w="1314.9744637385086"/>
            <w:gridCol w:w="772.21654749744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MTBF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100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during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100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Fault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Automatic restart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Docker &amp; worker restart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Queue failure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Retry +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Worker retry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bl>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Security</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enforces secure authentication, RBAC, mandatory 2FA for administrators, encrypted communications, secure key management, and comprehensive audit logging in compliance with ISO/IEC 27001 principles.</w:t>
      </w:r>
    </w:p>
    <w:tbl>
      <w:tblPr>
        <w:tblStyle w:val="Table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6.0640732265447"/>
        <w:gridCol w:w="2303.340961098398"/>
        <w:gridCol w:w="2362.654462242563"/>
        <w:gridCol w:w="1472.9519450800917"/>
        <w:gridCol w:w="864.9885583524028"/>
        <w:tblGridChange w:id="0">
          <w:tblGrid>
            <w:gridCol w:w="1636.0640732265447"/>
            <w:gridCol w:w="2303.340961098398"/>
            <w:gridCol w:w="2362.654462242563"/>
            <w:gridCol w:w="1472.9519450800917"/>
            <w:gridCol w:w="864.98855835240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Secure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Manual inspection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Permission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Enforced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2FA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TOTP flow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Enforced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AES-256 / RSA-2048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Code &amp; design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Audit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Immutable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 inspection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bl>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Maintainability</w:t>
      </w:r>
    </w:p>
    <w:p w:rsidR="00000000" w:rsidDel="00000000" w:rsidP="00000000" w:rsidRDefault="00000000" w:rsidRPr="00000000" w14:paraId="0000006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The system follows a modular layered monolithic architecture with clearly separated components, enabling isolated changes and straightforward extensibility.</w:t>
      </w:r>
      <w:r w:rsidDel="00000000" w:rsidR="00000000" w:rsidRPr="00000000">
        <w:rPr>
          <w:rtl w:val="0"/>
        </w:rPr>
      </w:r>
    </w:p>
    <w:tbl>
      <w:tblPr>
        <w:tblStyle w:val="Table5"/>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1352757544228"/>
        <w:gridCol w:w="2013.9021852237252"/>
        <w:gridCol w:w="2526.3683662851195"/>
        <w:gridCol w:w="1042.9136316337149"/>
        <w:gridCol w:w="786.6805411030177"/>
        <w:tblGridChange w:id="0">
          <w:tblGrid>
            <w:gridCol w:w="2270.1352757544228"/>
            <w:gridCol w:w="2013.9021852237252"/>
            <w:gridCol w:w="2526.3683662851195"/>
            <w:gridCol w:w="1042.9136316337149"/>
            <w:gridCol w:w="786.68054110301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Modular decomposition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Loosely coupled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SDD component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Achieved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Change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Module-level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Code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Achieved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Traceability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Req ↔ Code ↔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Commit &amp; doc traceability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bl>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Usability</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 analysts can complete core operational tasks efficiently using role-based dashboards and structured workflows. Usability targets defined in the SRS are met.</w:t>
      </w:r>
    </w:p>
    <w:tbl>
      <w:tblPr>
        <w:tblStyle w:val="Table6"/>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790"/>
        <w:gridCol w:w="2060"/>
        <w:gridCol w:w="1490"/>
        <w:gridCol w:w="875"/>
        <w:tblGridChange w:id="0">
          <w:tblGrid>
            <w:gridCol w:w="1880"/>
            <w:gridCol w:w="1790"/>
            <w:gridCol w:w="2060"/>
            <w:gridCol w:w="149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Task success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Functional UI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Clear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Role-based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bl>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Compatibility</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interoperates with external APIs (NVD, IDS, Email providers, Caldera) using standardized REST/JSON interfaces.</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1.9469026548672"/>
        <w:gridCol w:w="1868.4955752212388"/>
        <w:gridCol w:w="2198.2300884955753"/>
        <w:gridCol w:w="1295.0442477876106"/>
        <w:gridCol w:w="836.283185840708"/>
        <w:tblGridChange w:id="0">
          <w:tblGrid>
            <w:gridCol w:w="2441.9469026548672"/>
            <w:gridCol w:w="1868.4955752212388"/>
            <w:gridCol w:w="2198.2300884955753"/>
            <w:gridCol w:w="1295.0442477876106"/>
            <w:gridCol w:w="836.2831858407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interoperability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REST/JSON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Integration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system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NVD, IDS,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Integration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Achieved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w:t>
            </w:r>
          </w:p>
        </w:tc>
      </w:tr>
    </w:tbl>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Final Quality Assessment</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selected ISO/IEC 25010 quality characteristics are satisfied. No critical quality objectives remain unmet. Identified limitations are documented and accepted within the scope of an academic prototype.</w:t>
      </w:r>
    </w:p>
    <w:tbl>
      <w:tblPr>
        <w:tblStyle w:val="Table8"/>
        <w:tblW w:w="7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000"/>
        <w:gridCol w:w="2075"/>
        <w:gridCol w:w="1730"/>
        <w:tblGridChange w:id="0">
          <w:tblGrid>
            <w:gridCol w:w="2015"/>
            <w:gridCol w:w="2000"/>
            <w:gridCol w:w="207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Quality 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SRS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Design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Test Reference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NFR-Performance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SAD Process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STP Sec.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NFR-Security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SDD Sec.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STP Sec.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NFR-Reliability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Worker Scheduler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STP Sec. 8</w:t>
            </w:r>
          </w:p>
        </w:tc>
      </w:tr>
    </w:tbl>
    <w:p w:rsidR="00000000" w:rsidDel="00000000" w:rsidP="00000000" w:rsidRDefault="00000000" w:rsidRPr="00000000" w14:paraId="000000BB">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Conclusion</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AI-Driven SOC platform demonstrates a high level of software quality aligned with ISO/IEC 25010. The system fulfills its functional and non-functional requirements, achieves its performance and security targets, and provides a maintainable and extensible architecture suitable for further development.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