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A85F" w14:textId="77777777" w:rsidR="002D774E" w:rsidRDefault="00000000">
      <w:pPr>
        <w:spacing w:after="100"/>
        <w:rPr>
          <w:rFonts w:ascii="Segoe UI" w:eastAsia="Segoe UI" w:hAnsi="Segoe UI" w:cs="Segoe UI"/>
          <w:b/>
          <w:bCs/>
          <w:color w:val="242424"/>
          <w:sz w:val="34"/>
          <w:szCs w:val="34"/>
        </w:rPr>
      </w:pPr>
      <w:r>
        <w:rPr>
          <w:rFonts w:ascii="Segoe UI" w:eastAsia="Segoe UI" w:hAnsi="Segoe UI" w:cs="Segoe UI"/>
          <w:b/>
          <w:bCs/>
          <w:color w:val="242424"/>
          <w:sz w:val="34"/>
          <w:szCs w:val="34"/>
        </w:rPr>
        <w:t>Recording-20251104_224958</w:t>
      </w:r>
    </w:p>
    <w:p w14:paraId="52E08F7D" w14:textId="06B6B237" w:rsidR="00FD4313" w:rsidRDefault="00FD4313">
      <w:pPr>
        <w:spacing w:after="100"/>
        <w:rPr>
          <w:rFonts w:ascii="Segoe UI" w:eastAsia="Segoe UI" w:hAnsi="Segoe UI" w:cs="Segoe UI"/>
          <w:b/>
          <w:bCs/>
          <w:color w:val="242424"/>
          <w:sz w:val="34"/>
          <w:szCs w:val="34"/>
        </w:rPr>
      </w:pPr>
      <w:r>
        <w:rPr>
          <w:rFonts w:ascii="Segoe UI" w:eastAsia="Segoe UI" w:hAnsi="Segoe UI" w:cs="Segoe UI"/>
          <w:color w:val="616161"/>
        </w:rPr>
        <w:t>0:00</w:t>
      </w:r>
    </w:p>
    <w:p w14:paraId="1F0F6B12" w14:textId="33564F50" w:rsidR="00FD4313" w:rsidRPr="00FD4313" w:rsidRDefault="00FD4313">
      <w:pPr>
        <w:spacing w:after="100"/>
        <w:rPr>
          <w:rFonts w:ascii="Segoe UI" w:eastAsia="Segoe UI" w:hAnsi="Segoe UI" w:cs="Segoe UI"/>
          <w:color w:val="242424"/>
        </w:rPr>
      </w:pPr>
      <w:r w:rsidRPr="00FD4313">
        <w:rPr>
          <w:rFonts w:ascii="Segoe UI" w:eastAsia="Segoe UI" w:hAnsi="Segoe UI" w:cs="Segoe UI"/>
          <w:color w:val="242424"/>
        </w:rPr>
        <w:t>I’ll be covering the transformation and summary steps of our analysis.</w:t>
      </w:r>
      <w:r>
        <w:rPr>
          <w:rFonts w:ascii="Segoe UI" w:eastAsia="Segoe UI" w:hAnsi="Segoe UI" w:cs="Segoe UI"/>
          <w:color w:val="242424"/>
        </w:rPr>
        <w:t xml:space="preserve"> </w:t>
      </w:r>
      <w:r w:rsidRPr="00FD4313">
        <w:rPr>
          <w:rFonts w:ascii="Segoe UI" w:eastAsia="Segoe UI" w:hAnsi="Segoe UI" w:cs="Segoe UI"/>
          <w:color w:val="242424"/>
        </w:rPr>
        <w:t>After forward selection, we applied backward selection, which confirmed that most of the predictive features came from 2007 to 2022. This helped simplify our model while keeping it stable and interpretable.</w:t>
      </w:r>
    </w:p>
    <w:p w14:paraId="32DE143D" w14:textId="1A16114B" w:rsidR="002D774E" w:rsidRDefault="00000000">
      <w:pPr>
        <w:spacing w:after="110"/>
      </w:pPr>
      <w:r>
        <w:rPr>
          <w:rFonts w:ascii="Segoe UI" w:eastAsia="Segoe UI" w:hAnsi="Segoe UI" w:cs="Segoe UI"/>
          <w:color w:val="616161"/>
        </w:rPr>
        <w:br/>
        <w:t>0:</w:t>
      </w:r>
      <w:r w:rsidR="00FD4313">
        <w:rPr>
          <w:rFonts w:ascii="Segoe UI" w:eastAsia="Segoe UI" w:hAnsi="Segoe UI" w:cs="Segoe UI"/>
          <w:color w:val="616161"/>
        </w:rPr>
        <w:t>15</w:t>
      </w:r>
      <w:r>
        <w:rPr>
          <w:rFonts w:ascii="Segoe UI" w:eastAsia="Segoe UI" w:hAnsi="Segoe UI" w:cs="Segoe UI"/>
          <w:color w:val="242424"/>
        </w:rPr>
        <w:br/>
      </w:r>
      <w:r w:rsidR="00FD4313" w:rsidRPr="00FD4313">
        <w:rPr>
          <w:rFonts w:ascii="Segoe UI" w:eastAsia="Segoe UI" w:hAnsi="Segoe UI" w:cs="Segoe UI"/>
          <w:color w:val="242424"/>
        </w:rPr>
        <w:t>Next, to correct skewed distributions, we used two transformations</w:t>
      </w:r>
      <w:r w:rsidR="00FD4313">
        <w:rPr>
          <w:rFonts w:ascii="Segoe UI" w:eastAsia="Segoe UI" w:hAnsi="Segoe UI" w:cs="Segoe UI"/>
          <w:color w:val="242424"/>
        </w:rPr>
        <w:t xml:space="preserve">. </w:t>
      </w:r>
      <w:r>
        <w:rPr>
          <w:rFonts w:ascii="Segoe UI" w:eastAsia="Segoe UI" w:hAnsi="Segoe UI" w:cs="Segoe UI"/>
          <w:color w:val="242424"/>
        </w:rPr>
        <w:t xml:space="preserve">Transformation Box Cox for strictly positive data Slike 2007 and 2008 and </w:t>
      </w:r>
      <w:r w:rsidR="00FD4313" w:rsidRPr="00FD4313">
        <w:rPr>
          <w:rFonts w:ascii="Segoe UI" w:eastAsia="Segoe UI" w:hAnsi="Segoe UI" w:cs="Segoe UI"/>
          <w:color w:val="242424"/>
        </w:rPr>
        <w:t>Tukey Power</w:t>
      </w:r>
      <w:r>
        <w:rPr>
          <w:rFonts w:ascii="Segoe UI" w:eastAsia="Segoe UI" w:hAnsi="Segoe UI" w:cs="Segoe UI"/>
          <w:color w:val="242424"/>
        </w:rPr>
        <w:t xml:space="preserve"> for 2017 to 2019. Box Cox comprised extreme values making the histogram more balanced, while </w:t>
      </w:r>
      <w:r w:rsidR="00FD4313" w:rsidRPr="00FD4313">
        <w:rPr>
          <w:rFonts w:ascii="Segoe UI" w:eastAsia="Segoe UI" w:hAnsi="Segoe UI" w:cs="Segoe UI"/>
          <w:color w:val="242424"/>
        </w:rPr>
        <w:t>Tukey Power</w:t>
      </w:r>
      <w:r>
        <w:rPr>
          <w:rFonts w:ascii="Segoe UI" w:eastAsia="Segoe UI" w:hAnsi="Segoe UI" w:cs="Segoe UI"/>
          <w:color w:val="242424"/>
        </w:rPr>
        <w:t xml:space="preserve"> handle zero negative values smoothly reducing the heavy right tails. </w:t>
      </w:r>
      <w:r w:rsidR="00FD4313" w:rsidRPr="00FD4313">
        <w:rPr>
          <w:rFonts w:ascii="Segoe UI" w:eastAsia="Segoe UI" w:hAnsi="Segoe UI" w:cs="Segoe UI"/>
          <w:color w:val="242424"/>
        </w:rPr>
        <w:t>These transformations made our dataset more normally distributed and improved the performance of PCA and regression models</w:t>
      </w:r>
      <w:r w:rsidR="00FD4313">
        <w:rPr>
          <w:rFonts w:ascii="Segoe UI" w:eastAsia="Segoe UI" w:hAnsi="Segoe UI" w:cs="Segoe UI"/>
          <w:color w:val="242424"/>
        </w:rPr>
        <w:t>.</w:t>
      </w:r>
    </w:p>
    <w:p w14:paraId="0CBB25D4" w14:textId="4DC1CBDF" w:rsidR="002D774E" w:rsidRDefault="00000000">
      <w:pPr>
        <w:spacing w:after="110"/>
      </w:pPr>
      <w:r>
        <w:rPr>
          <w:rFonts w:ascii="Segoe UI" w:eastAsia="Segoe UI" w:hAnsi="Segoe UI" w:cs="Segoe UI"/>
          <w:color w:val="616161"/>
        </w:rPr>
        <w:br/>
        <w:t>0:</w:t>
      </w:r>
      <w:r w:rsidR="00FD4313">
        <w:rPr>
          <w:rFonts w:ascii="Segoe UI" w:eastAsia="Segoe UI" w:hAnsi="Segoe UI" w:cs="Segoe UI"/>
          <w:color w:val="616161"/>
        </w:rPr>
        <w:t>45</w:t>
      </w:r>
      <w:r>
        <w:rPr>
          <w:rFonts w:ascii="Segoe UI" w:eastAsia="Segoe UI" w:hAnsi="Segoe UI" w:cs="Segoe UI"/>
          <w:color w:val="242424"/>
        </w:rPr>
        <w:br/>
      </w:r>
      <w:r w:rsidR="00FD4313" w:rsidRPr="00FD4313">
        <w:rPr>
          <w:rFonts w:ascii="Segoe UI" w:eastAsia="Segoe UI" w:hAnsi="Segoe UI" w:cs="Segoe UI"/>
          <w:color w:val="242424"/>
        </w:rPr>
        <w:t>Finally, we reviewed the CPI dataset dictionary to validate column meanings and ensure our selected features aligned with real economic indicators.</w:t>
      </w:r>
    </w:p>
    <w:p w14:paraId="02A6FC4D" w14:textId="6EA6AC61" w:rsidR="002D774E" w:rsidRDefault="00000000">
      <w:pPr>
        <w:spacing w:after="110"/>
      </w:pPr>
      <w:r>
        <w:rPr>
          <w:rFonts w:ascii="Segoe UI" w:eastAsia="Segoe UI" w:hAnsi="Segoe UI" w:cs="Segoe UI"/>
          <w:color w:val="616161"/>
        </w:rPr>
        <w:br/>
      </w:r>
      <w:r w:rsidR="00FD4313">
        <w:rPr>
          <w:rFonts w:ascii="Segoe UI" w:eastAsia="Segoe UI" w:hAnsi="Segoe UI" w:cs="Segoe UI"/>
          <w:color w:val="616161"/>
        </w:rPr>
        <w:t>1:00</w:t>
      </w:r>
      <w:r>
        <w:rPr>
          <w:rFonts w:ascii="Segoe UI" w:eastAsia="Segoe UI" w:hAnsi="Segoe UI" w:cs="Segoe UI"/>
          <w:color w:val="242424"/>
        </w:rPr>
        <w:br/>
      </w:r>
      <w:r w:rsidR="00FD4313" w:rsidRPr="00FD4313">
        <w:rPr>
          <w:rFonts w:ascii="Segoe UI" w:eastAsia="Segoe UI" w:hAnsi="Segoe UI" w:cs="Segoe UI"/>
          <w:color w:val="242424"/>
        </w:rPr>
        <w:t>In short, backward selection and power transformations together enhanced interpretability, reduced noise, and revealed cleaner patterns in Canada’s inflation trends</w:t>
      </w:r>
      <w:r w:rsidR="00FD4313">
        <w:rPr>
          <w:rFonts w:ascii="Segoe UI" w:eastAsia="Segoe UI" w:hAnsi="Segoe UI" w:cs="Segoe UI"/>
          <w:color w:val="242424"/>
        </w:rPr>
        <w:t>.</w:t>
      </w:r>
    </w:p>
    <w:sectPr w:rsidR="002D77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8066C"/>
    <w:multiLevelType w:val="hybridMultilevel"/>
    <w:tmpl w:val="F0162E86"/>
    <w:lvl w:ilvl="0" w:tplc="3B466544">
      <w:start w:val="1"/>
      <w:numFmt w:val="bullet"/>
      <w:lvlText w:val="●"/>
      <w:lvlJc w:val="left"/>
      <w:pPr>
        <w:ind w:left="720" w:hanging="360"/>
      </w:pPr>
    </w:lvl>
    <w:lvl w:ilvl="1" w:tplc="44A852BA">
      <w:start w:val="1"/>
      <w:numFmt w:val="bullet"/>
      <w:lvlText w:val="○"/>
      <w:lvlJc w:val="left"/>
      <w:pPr>
        <w:ind w:left="1440" w:hanging="360"/>
      </w:pPr>
    </w:lvl>
    <w:lvl w:ilvl="2" w:tplc="32C4D0AA">
      <w:start w:val="1"/>
      <w:numFmt w:val="bullet"/>
      <w:lvlText w:val="■"/>
      <w:lvlJc w:val="left"/>
      <w:pPr>
        <w:ind w:left="2160" w:hanging="360"/>
      </w:pPr>
    </w:lvl>
    <w:lvl w:ilvl="3" w:tplc="8F589588">
      <w:start w:val="1"/>
      <w:numFmt w:val="bullet"/>
      <w:lvlText w:val="●"/>
      <w:lvlJc w:val="left"/>
      <w:pPr>
        <w:ind w:left="2880" w:hanging="360"/>
      </w:pPr>
    </w:lvl>
    <w:lvl w:ilvl="4" w:tplc="1696F326">
      <w:start w:val="1"/>
      <w:numFmt w:val="bullet"/>
      <w:lvlText w:val="○"/>
      <w:lvlJc w:val="left"/>
      <w:pPr>
        <w:ind w:left="3600" w:hanging="360"/>
      </w:pPr>
    </w:lvl>
    <w:lvl w:ilvl="5" w:tplc="AC56D346">
      <w:start w:val="1"/>
      <w:numFmt w:val="bullet"/>
      <w:lvlText w:val="■"/>
      <w:lvlJc w:val="left"/>
      <w:pPr>
        <w:ind w:left="4320" w:hanging="360"/>
      </w:pPr>
    </w:lvl>
    <w:lvl w:ilvl="6" w:tplc="B014700C">
      <w:start w:val="1"/>
      <w:numFmt w:val="bullet"/>
      <w:lvlText w:val="●"/>
      <w:lvlJc w:val="left"/>
      <w:pPr>
        <w:ind w:left="5040" w:hanging="360"/>
      </w:pPr>
    </w:lvl>
    <w:lvl w:ilvl="7" w:tplc="0B6223DC">
      <w:start w:val="1"/>
      <w:numFmt w:val="bullet"/>
      <w:lvlText w:val="●"/>
      <w:lvlJc w:val="left"/>
      <w:pPr>
        <w:ind w:left="5760" w:hanging="360"/>
      </w:pPr>
    </w:lvl>
    <w:lvl w:ilvl="8" w:tplc="0E540804">
      <w:start w:val="1"/>
      <w:numFmt w:val="bullet"/>
      <w:lvlText w:val="●"/>
      <w:lvlJc w:val="left"/>
      <w:pPr>
        <w:ind w:left="6480" w:hanging="360"/>
      </w:pPr>
    </w:lvl>
  </w:abstractNum>
  <w:num w:numId="1" w16cid:durableId="406079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74E"/>
    <w:rsid w:val="002D774E"/>
    <w:rsid w:val="006C4FCA"/>
    <w:rsid w:val="00FD43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42A1"/>
  <w15:docId w15:val="{77E7105E-EDE7-4436-929A-71ADD80D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Sabrina George Karippatt</cp:lastModifiedBy>
  <cp:revision>2</cp:revision>
  <dcterms:created xsi:type="dcterms:W3CDTF">2025-11-05T04:09:00Z</dcterms:created>
  <dcterms:modified xsi:type="dcterms:W3CDTF">2025-11-05T04:09:00Z</dcterms:modified>
</cp:coreProperties>
</file>