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5B647EF3" w:rsidR="00234B39" w:rsidRPr="000409ED" w:rsidRDefault="00CF5615"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rPr>
        <w:t>I</w:t>
      </w:r>
      <w:r w:rsidRPr="00CF5615">
        <w:rPr>
          <w:rFonts w:ascii="Arial" w:eastAsia="Times New Roman" w:hAnsi="Arial" w:cs="Arial"/>
          <w:b w:val="0"/>
          <w:bCs w:val="0"/>
          <w:color w:val="0F4761" w:themeColor="accent1" w:themeShade="BF"/>
          <w:sz w:val="32"/>
          <w:szCs w:val="32"/>
        </w:rPr>
        <w:t xml:space="preserve">nnovative </w:t>
      </w:r>
      <w:r>
        <w:rPr>
          <w:rFonts w:ascii="Arial" w:eastAsia="Times New Roman" w:hAnsi="Arial" w:cs="Arial"/>
          <w:b w:val="0"/>
          <w:bCs w:val="0"/>
          <w:color w:val="0F4761" w:themeColor="accent1" w:themeShade="BF"/>
          <w:sz w:val="32"/>
          <w:szCs w:val="32"/>
        </w:rPr>
        <w:t>T</w:t>
      </w:r>
      <w:r w:rsidRPr="00CF5615">
        <w:rPr>
          <w:rFonts w:ascii="Arial" w:eastAsia="Times New Roman" w:hAnsi="Arial" w:cs="Arial"/>
          <w:b w:val="0"/>
          <w:bCs w:val="0"/>
          <w:color w:val="0F4761" w:themeColor="accent1" w:themeShade="BF"/>
          <w:sz w:val="32"/>
          <w:szCs w:val="32"/>
        </w:rPr>
        <w:t xml:space="preserve">eaching methods in </w:t>
      </w:r>
      <w:r>
        <w:rPr>
          <w:rFonts w:ascii="Arial" w:eastAsia="Times New Roman" w:hAnsi="Arial" w:cs="Arial"/>
          <w:b w:val="0"/>
          <w:bCs w:val="0"/>
          <w:color w:val="0F4761" w:themeColor="accent1" w:themeShade="BF"/>
          <w:sz w:val="32"/>
          <w:szCs w:val="32"/>
        </w:rPr>
        <w:t>H</w:t>
      </w:r>
      <w:r w:rsidRPr="00CF5615">
        <w:rPr>
          <w:rFonts w:ascii="Arial" w:eastAsia="Times New Roman" w:hAnsi="Arial" w:cs="Arial"/>
          <w:b w:val="0"/>
          <w:bCs w:val="0"/>
          <w:color w:val="0F4761" w:themeColor="accent1" w:themeShade="BF"/>
          <w:sz w:val="32"/>
          <w:szCs w:val="32"/>
        </w:rPr>
        <w:t>igher</w:t>
      </w:r>
      <w:r>
        <w:rPr>
          <w:rFonts w:ascii="Arial" w:eastAsia="Times New Roman" w:hAnsi="Arial" w:cs="Arial"/>
          <w:b w:val="0"/>
          <w:bCs w:val="0"/>
          <w:color w:val="0F4761" w:themeColor="accent1" w:themeShade="BF"/>
          <w:sz w:val="32"/>
          <w:szCs w:val="32"/>
        </w:rPr>
        <w:t xml:space="preserve"> E</w:t>
      </w:r>
      <w:r w:rsidRPr="00CF5615">
        <w:rPr>
          <w:rFonts w:ascii="Arial" w:eastAsia="Times New Roman" w:hAnsi="Arial" w:cs="Arial"/>
          <w:b w:val="0"/>
          <w:bCs w:val="0"/>
          <w:color w:val="0F4761" w:themeColor="accent1" w:themeShade="BF"/>
          <w:sz w:val="32"/>
          <w:szCs w:val="32"/>
        </w:rPr>
        <w:t>ducation</w:t>
      </w:r>
      <w:r>
        <w:rPr>
          <w:rFonts w:ascii="Arial" w:eastAsia="Times New Roman" w:hAnsi="Arial" w:cs="Arial"/>
          <w:b w:val="0"/>
          <w:bCs w:val="0"/>
          <w:color w:val="0F4761" w:themeColor="accent1" w:themeShade="BF"/>
          <w:sz w:val="32"/>
          <w:szCs w:val="32"/>
        </w:rPr>
        <w:t xml:space="preserve"> </w:t>
      </w:r>
      <w:r w:rsidRPr="000409ED">
        <w:rPr>
          <w:rFonts w:ascii="Arial" w:eastAsia="Times New Roman" w:hAnsi="Arial" w:cs="Arial"/>
          <w:b w:val="0"/>
          <w:bCs w:val="0"/>
          <w:color w:val="0F4761" w:themeColor="accent1" w:themeShade="BF"/>
          <w:sz w:val="32"/>
          <w:szCs w:val="32"/>
          <w:lang w:val="en"/>
        </w:rPr>
        <w:t>Submission</w:t>
      </w:r>
    </w:p>
    <w:p w14:paraId="0B94036A" w14:textId="591C5B3F" w:rsidR="00234B39" w:rsidRPr="001C773C" w:rsidRDefault="00000000">
      <w:pPr>
        <w:pStyle w:val="NormalWeb"/>
        <w:divId w:val="465317432"/>
        <w:rPr>
          <w:rFonts w:ascii="Arial" w:hAnsi="Arial" w:cs="Arial"/>
        </w:rPr>
      </w:pPr>
      <w:r>
        <w:rPr>
          <w:rStyle w:val="Strong"/>
          <w:rFonts w:ascii="Arial" w:hAnsi="Arial" w:cs="Arial"/>
          <w:lang w:val="en"/>
        </w:rPr>
        <w:t>Learner Name</w:t>
      </w:r>
      <w:r>
        <w:rPr>
          <w:rFonts w:ascii="Arial" w:hAnsi="Arial" w:cs="Arial"/>
          <w:lang w:val="en"/>
        </w:rPr>
        <w:t xml:space="preserve">: </w:t>
      </w:r>
      <w:r w:rsidR="00CF5615">
        <w:rPr>
          <w:rFonts w:ascii="Arial" w:hAnsi="Arial" w:cs="Arial"/>
          <w:lang w:val="en"/>
        </w:rPr>
        <w:t>Sabrish Varadharajan</w:t>
      </w:r>
    </w:p>
    <w:p w14:paraId="677DC39A" w14:textId="374ECFF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C773C">
        <w:rPr>
          <w:rFonts w:ascii="Arial" w:hAnsi="Arial" w:cs="Arial"/>
          <w:lang w:val="en"/>
        </w:rPr>
        <w:t>sabrishvaradharajan@gmail.com</w:t>
      </w:r>
    </w:p>
    <w:p w14:paraId="4D7EECF3" w14:textId="7AA76CE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C773C" w:rsidRPr="001C773C">
        <w:rPr>
          <w:rFonts w:ascii="Arial" w:hAnsi="Arial" w:cs="Arial"/>
          <w:lang w:val="en"/>
        </w:rPr>
        <w:t>Education: Summarize and analyze research on innovative teaching methods in higher education.</w:t>
      </w:r>
    </w:p>
    <w:p w14:paraId="19551121" w14:textId="7F34B98F"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C773C" w:rsidRPr="001C773C">
        <w:rPr>
          <w:rFonts w:ascii="Arial" w:hAnsi="Arial" w:cs="Arial"/>
          <w:lang w:val="en"/>
        </w:rPr>
        <w:t>https://arxiv.org/pdf/2103.13273</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C3F9CA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C6BC5" w:rsidRPr="009C6BC5">
        <w:rPr>
          <w:rFonts w:ascii="Arial" w:hAnsi="Arial" w:cs="Arial"/>
          <w:lang w:val="en"/>
        </w:rPr>
        <w:t>Generate me a summary of what this research paper is about in brief in approx</w:t>
      </w:r>
      <w:r w:rsidR="009C6BC5">
        <w:rPr>
          <w:rFonts w:ascii="Arial" w:hAnsi="Arial" w:cs="Arial"/>
          <w:lang w:val="en"/>
        </w:rPr>
        <w:t>imately</w:t>
      </w:r>
      <w:r w:rsidR="009C6BC5" w:rsidRPr="009C6BC5">
        <w:rPr>
          <w:rFonts w:ascii="Arial" w:hAnsi="Arial" w:cs="Arial"/>
          <w:lang w:val="en"/>
        </w:rPr>
        <w:t xml:space="preserve"> 100 words max</w:t>
      </w:r>
      <w:r w:rsidR="009C6BC5">
        <w:rPr>
          <w:rFonts w:ascii="Arial" w:hAnsi="Arial" w:cs="Arial"/>
          <w:lang w:val="en"/>
        </w:rPr>
        <w:t>imum</w:t>
      </w:r>
    </w:p>
    <w:p w14:paraId="607D06FE" w14:textId="77777777" w:rsidR="00E6031D" w:rsidRDefault="00000000" w:rsidP="00E6031D">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32CA962" w14:textId="4B06F75E" w:rsidR="00D93468" w:rsidRDefault="00D93468" w:rsidP="00E6031D">
      <w:pPr>
        <w:pStyle w:val="NormalWeb"/>
        <w:ind w:right="300"/>
        <w:divId w:val="465317432"/>
        <w:rPr>
          <w:rFonts w:ascii="Arial" w:hAnsi="Arial" w:cs="Arial"/>
          <w:lang w:val="en"/>
        </w:rPr>
      </w:pPr>
      <w:r w:rsidRPr="00D93468">
        <w:rPr>
          <w:rFonts w:ascii="Arial" w:hAnsi="Arial" w:cs="Arial"/>
          <w:lang w:val="en"/>
        </w:rPr>
        <w:t xml:space="preserve">The document covers prompt programming for language models, focusing on crafting inputs that guide models to desired outputs. It discusses two main types of prompts: instruction-based, which directly tell the model what to do, and demonstration-based, which use examples to guide the model's response. Techniques like zero-shot and few-shot learning, as well as systematic prompting, are explored to improve prompt effectiveness. The challenges highlighted include creating clear, unambiguous prompts and ensuring accurate responses. These concepts are relevant to enhancing your </w:t>
      </w:r>
      <w:proofErr w:type="spellStart"/>
      <w:r w:rsidRPr="00D93468">
        <w:rPr>
          <w:rFonts w:ascii="Arial" w:hAnsi="Arial" w:cs="Arial"/>
          <w:lang w:val="en"/>
        </w:rPr>
        <w:t>TinyLLama</w:t>
      </w:r>
      <w:proofErr w:type="spellEnd"/>
      <w:r w:rsidRPr="00D93468">
        <w:rPr>
          <w:rFonts w:ascii="Arial" w:hAnsi="Arial" w:cs="Arial"/>
          <w:lang w:val="en"/>
        </w:rPr>
        <w:t xml:space="preserve"> model, helping developers craft precise prompts and improving the model's ability to clarify and summarize requirements.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AA65CB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93468">
        <w:rPr>
          <w:rFonts w:ascii="Arial" w:hAnsi="Arial" w:cs="Arial"/>
        </w:rPr>
        <w:t>W</w:t>
      </w:r>
      <w:r w:rsidR="00D93468" w:rsidRPr="00D93468">
        <w:rPr>
          <w:rFonts w:ascii="Arial" w:hAnsi="Arial" w:cs="Arial"/>
        </w:rPr>
        <w:t xml:space="preserve">hat are some of the important and interesting things </w:t>
      </w:r>
      <w:r w:rsidR="00D93468">
        <w:rPr>
          <w:rFonts w:ascii="Arial" w:hAnsi="Arial" w:cs="Arial"/>
        </w:rPr>
        <w:t xml:space="preserve">that </w:t>
      </w:r>
      <w:r w:rsidR="00D93468" w:rsidRPr="00D93468">
        <w:rPr>
          <w:rFonts w:ascii="Arial" w:hAnsi="Arial" w:cs="Arial"/>
        </w:rPr>
        <w:t xml:space="preserve">you find in this </w:t>
      </w:r>
      <w:proofErr w:type="gramStart"/>
      <w:r w:rsidR="00D93468" w:rsidRPr="00D93468">
        <w:rPr>
          <w:rFonts w:ascii="Arial" w:hAnsi="Arial" w:cs="Arial"/>
        </w:rPr>
        <w:t>document ?</w:t>
      </w:r>
      <w:proofErr w:type="gramEnd"/>
    </w:p>
    <w:p w14:paraId="3E7B3821" w14:textId="5B856254" w:rsidR="00234B39" w:rsidRDefault="00000000" w:rsidP="00D93468">
      <w:pPr>
        <w:pStyle w:val="NormalWeb"/>
        <w:divId w:val="465317432"/>
        <w:rPr>
          <w:rStyle w:val="Strong"/>
          <w:rFonts w:ascii="Arial" w:hAnsi="Arial" w:cs="Arial"/>
          <w:b w:val="0"/>
          <w:bCs w:val="0"/>
          <w:lang w:val="en"/>
        </w:rPr>
      </w:pPr>
      <w:r>
        <w:rPr>
          <w:rStyle w:val="Strong"/>
          <w:rFonts w:ascii="Arial" w:hAnsi="Arial" w:cs="Arial"/>
          <w:lang w:val="en"/>
        </w:rPr>
        <w:t>Generated Summary (100 words max</w:t>
      </w:r>
      <w:r w:rsidR="00D93468">
        <w:rPr>
          <w:rStyle w:val="Strong"/>
          <w:rFonts w:ascii="Arial" w:hAnsi="Arial" w:cs="Arial"/>
          <w:lang w:val="en"/>
        </w:rPr>
        <w:t>)</w:t>
      </w:r>
      <w:r w:rsidR="00D93468" w:rsidRPr="00D93468">
        <w:rPr>
          <w:rStyle w:val="Strong"/>
          <w:rFonts w:ascii="Arial" w:hAnsi="Arial" w:cs="Arial"/>
          <w:b w:val="0"/>
          <w:bCs w:val="0"/>
          <w:lang w:val="en"/>
        </w:rPr>
        <w:t>:</w:t>
      </w:r>
    </w:p>
    <w:p w14:paraId="31A98194" w14:textId="47E37EE4" w:rsidR="00D93468" w:rsidRDefault="00D93468" w:rsidP="00D93468">
      <w:pPr>
        <w:pStyle w:val="NormalWeb"/>
        <w:divId w:val="465317432"/>
        <w:rPr>
          <w:rFonts w:ascii="Arial" w:hAnsi="Arial" w:cs="Arial"/>
          <w:lang w:val="en"/>
        </w:rPr>
      </w:pPr>
      <w:r>
        <w:rPr>
          <w:rFonts w:ascii="Arial" w:hAnsi="Arial" w:cs="Arial"/>
        </w:rPr>
        <w:t>It</w:t>
      </w:r>
      <w:r w:rsidRPr="00D93468">
        <w:rPr>
          <w:rFonts w:ascii="Arial" w:hAnsi="Arial" w:cs="Arial"/>
        </w:rPr>
        <w:t xml:space="preserve"> explores the use of gamification and co-creation in higher education. Researchers developed a gamification-based learning system through collaborative efforts between students and educators, incorporating elements like missions, virtual currency, and power-ups. The study found that this co-creation approach led to high student engagement, satisfaction, and a 100% pass rate. Students actively participated in designing and refining the system through regular feedback sessions.</w:t>
      </w:r>
      <w:r>
        <w:rPr>
          <w:rFonts w:ascii="Arial" w:hAnsi="Arial" w:cs="Arial"/>
        </w:rPr>
        <w:t xml:space="preserve"> </w:t>
      </w:r>
      <w:r w:rsidRPr="00D93468">
        <w:rPr>
          <w:rFonts w:ascii="Arial" w:hAnsi="Arial" w:cs="Arial"/>
        </w:rPr>
        <w:t xml:space="preserve">Some gamification elements were more </w:t>
      </w:r>
      <w:r w:rsidRPr="00D93468">
        <w:rPr>
          <w:rFonts w:ascii="Arial" w:hAnsi="Arial" w:cs="Arial"/>
        </w:rPr>
        <w:lastRenderedPageBreak/>
        <w:t>successful than others, allowing for real-time adjustments. The research suggests that combining gamification with co-creation can enhance student engagement and create a stronger sense of partnership in higher education settings.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89078A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32A22" w:rsidRPr="00832A22">
        <w:rPr>
          <w:rFonts w:ascii="Arial" w:hAnsi="Arial" w:cs="Arial"/>
        </w:rPr>
        <w:t>Summarize the research paper by comparing its approach and findings with previous studies cited in the paper</w:t>
      </w:r>
    </w:p>
    <w:p w14:paraId="4D8B349F" w14:textId="77777777" w:rsidR="00832A2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3B83E23E" w:rsidR="00234B39" w:rsidRDefault="00832A22">
      <w:pPr>
        <w:pStyle w:val="NormalWeb"/>
        <w:divId w:val="465317432"/>
        <w:rPr>
          <w:rFonts w:ascii="Arial" w:hAnsi="Arial" w:cs="Arial"/>
          <w:lang w:val="en"/>
        </w:rPr>
      </w:pPr>
      <w:r w:rsidRPr="00832A22">
        <w:rPr>
          <w:rFonts w:ascii="Arial" w:hAnsi="Arial" w:cs="Arial"/>
        </w:rPr>
        <w:t xml:space="preserve">This study diverges from previous gamification research in higher education by focusing on co-creation rather than implementing pre-designed solutions. Unlike earlier studies by </w:t>
      </w:r>
      <w:proofErr w:type="spellStart"/>
      <w:r w:rsidRPr="00832A22">
        <w:rPr>
          <w:rFonts w:ascii="Arial" w:hAnsi="Arial" w:cs="Arial"/>
        </w:rPr>
        <w:t>Iosup</w:t>
      </w:r>
      <w:proofErr w:type="spellEnd"/>
      <w:r w:rsidRPr="00832A22">
        <w:rPr>
          <w:rFonts w:ascii="Arial" w:hAnsi="Arial" w:cs="Arial"/>
        </w:rPr>
        <w:t xml:space="preserve"> &amp; </w:t>
      </w:r>
      <w:proofErr w:type="spellStart"/>
      <w:r w:rsidRPr="00832A22">
        <w:rPr>
          <w:rFonts w:ascii="Arial" w:hAnsi="Arial" w:cs="Arial"/>
        </w:rPr>
        <w:t>Epema</w:t>
      </w:r>
      <w:proofErr w:type="spellEnd"/>
      <w:r w:rsidRPr="00832A22">
        <w:rPr>
          <w:rFonts w:ascii="Arial" w:hAnsi="Arial" w:cs="Arial"/>
        </w:rPr>
        <w:t xml:space="preserve"> (2014), Tsay &amp; </w:t>
      </w:r>
      <w:proofErr w:type="spellStart"/>
      <w:r w:rsidRPr="00832A22">
        <w:rPr>
          <w:rFonts w:ascii="Arial" w:hAnsi="Arial" w:cs="Arial"/>
        </w:rPr>
        <w:t>Kofinas</w:t>
      </w:r>
      <w:proofErr w:type="spellEnd"/>
      <w:r w:rsidRPr="00832A22">
        <w:rPr>
          <w:rFonts w:ascii="Arial" w:hAnsi="Arial" w:cs="Arial"/>
        </w:rPr>
        <w:t xml:space="preserve"> (2017), and Urh et al. (2015), which primarily examined the effects of pre-determined gamification elements, this research actively involved students in the design process. Building on Díaz-Méndez &amp; Gummesson's (2012) exploration of co-creation in higher education, the study found that synchronous partnership in developing gamification elements led to high student engagement, satisfaction, and academic success. This approach aligns with Coates' (2005) emphasis on student engagement as an indicator of course quality, while offering a novel method for fostering the partnerships advocated by Bryson (2016)</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DBE75F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32A22" w:rsidRPr="00832A22">
        <w:rPr>
          <w:rFonts w:ascii="Arial" w:hAnsi="Arial" w:cs="Arial"/>
        </w:rPr>
        <w:t>Summarize this research paper and include direct quotes from the paper to highlight key points and insights.</w:t>
      </w:r>
    </w:p>
    <w:p w14:paraId="35510188" w14:textId="77777777" w:rsidR="00832A2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74928DA6" w:rsidR="00234B39" w:rsidRDefault="00832A22">
      <w:pPr>
        <w:pStyle w:val="NormalWeb"/>
        <w:divId w:val="465317432"/>
        <w:rPr>
          <w:rFonts w:ascii="Arial" w:hAnsi="Arial" w:cs="Arial"/>
          <w:lang w:val="en"/>
        </w:rPr>
      </w:pPr>
      <w:r>
        <w:rPr>
          <w:rFonts w:ascii="Arial" w:hAnsi="Arial" w:cs="Arial"/>
        </w:rPr>
        <w:t>It</w:t>
      </w:r>
      <w:r w:rsidRPr="00832A22">
        <w:rPr>
          <w:rFonts w:ascii="Arial" w:hAnsi="Arial" w:cs="Arial"/>
        </w:rPr>
        <w:t xml:space="preserve"> explores co-creating gamification-based learning in higher education. Unlike previous research using pre-designed solutions, it actively involves students in development. The approach led to high engagement and satisfaction, with students reporting, "It has been definitely my favourite module." The co-creation process fostered partnership: "I felt like we were working on something that will help future students." Some gamification elements were more successful than others, with students noting, "I felt that I could break the rules of the game and get more out of it." The study concludes that co-creation in gamification can enhance student engagement and partnership in higher education.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CCCA58E" w14:textId="77777777" w:rsidR="002D4614" w:rsidRDefault="00000000" w:rsidP="002D4614">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0C70CB26" w14:textId="4D73C155" w:rsidR="002D4614" w:rsidRPr="002D4614" w:rsidRDefault="002D4614" w:rsidP="002D4614">
      <w:pPr>
        <w:pStyle w:val="NormalWeb"/>
        <w:ind w:left="300" w:right="300"/>
        <w:divId w:val="465317432"/>
        <w:rPr>
          <w:rFonts w:ascii="Arial" w:hAnsi="Arial" w:cs="Arial"/>
          <w:lang w:val="en"/>
        </w:rPr>
      </w:pPr>
      <w:r w:rsidRPr="002D4614">
        <w:rPr>
          <w:rFonts w:ascii="Arial" w:hAnsi="Arial" w:cs="Arial"/>
          <w:lang w:val="en"/>
        </w:rPr>
        <w:t xml:space="preserve">This study explores co-creating gamification-based learning in higher education, finding it highly effective for student engagement and satisfaction. Key insights include the success of synchronous </w:t>
      </w:r>
      <w:r w:rsidRPr="002D4614">
        <w:rPr>
          <w:rFonts w:ascii="Arial" w:hAnsi="Arial" w:cs="Arial"/>
          <w:lang w:val="en"/>
        </w:rPr>
        <w:lastRenderedPageBreak/>
        <w:t>partnerships and the importance of real-time adjustments to gamification elements.</w:t>
      </w:r>
    </w:p>
    <w:p w14:paraId="5E2E2C5F" w14:textId="77777777" w:rsidR="002D4614" w:rsidRPr="002D4614" w:rsidRDefault="002D4614" w:rsidP="002D4614">
      <w:pPr>
        <w:pStyle w:val="NormalWeb"/>
        <w:ind w:left="300" w:right="300"/>
        <w:divId w:val="465317432"/>
        <w:rPr>
          <w:rFonts w:ascii="Arial" w:hAnsi="Arial" w:cs="Arial"/>
          <w:lang w:val="en"/>
        </w:rPr>
      </w:pPr>
      <w:r w:rsidRPr="002D4614">
        <w:rPr>
          <w:rFonts w:ascii="Arial" w:hAnsi="Arial" w:cs="Arial"/>
          <w:lang w:val="en"/>
        </w:rPr>
        <w:t xml:space="preserve">Unlike previous research by </w:t>
      </w:r>
      <w:proofErr w:type="spellStart"/>
      <w:r w:rsidRPr="002D4614">
        <w:rPr>
          <w:rFonts w:ascii="Arial" w:hAnsi="Arial" w:cs="Arial"/>
          <w:lang w:val="en"/>
        </w:rPr>
        <w:t>Iosup</w:t>
      </w:r>
      <w:proofErr w:type="spellEnd"/>
      <w:r w:rsidRPr="002D4614">
        <w:rPr>
          <w:rFonts w:ascii="Arial" w:hAnsi="Arial" w:cs="Arial"/>
          <w:lang w:val="en"/>
        </w:rPr>
        <w:t xml:space="preserve"> &amp; </w:t>
      </w:r>
      <w:proofErr w:type="spellStart"/>
      <w:r w:rsidRPr="002D4614">
        <w:rPr>
          <w:rFonts w:ascii="Arial" w:hAnsi="Arial" w:cs="Arial"/>
          <w:lang w:val="en"/>
        </w:rPr>
        <w:t>Epema</w:t>
      </w:r>
      <w:proofErr w:type="spellEnd"/>
      <w:r w:rsidRPr="002D4614">
        <w:rPr>
          <w:rFonts w:ascii="Arial" w:hAnsi="Arial" w:cs="Arial"/>
          <w:lang w:val="en"/>
        </w:rPr>
        <w:t xml:space="preserve"> (2014), Tsay &amp; </w:t>
      </w:r>
      <w:proofErr w:type="spellStart"/>
      <w:r w:rsidRPr="002D4614">
        <w:rPr>
          <w:rFonts w:ascii="Arial" w:hAnsi="Arial" w:cs="Arial"/>
          <w:lang w:val="en"/>
        </w:rPr>
        <w:t>Kofinas</w:t>
      </w:r>
      <w:proofErr w:type="spellEnd"/>
      <w:r w:rsidRPr="002D4614">
        <w:rPr>
          <w:rFonts w:ascii="Arial" w:hAnsi="Arial" w:cs="Arial"/>
          <w:lang w:val="en"/>
        </w:rPr>
        <w:t xml:space="preserve"> (2017), and Urh et al. (2015), which implemented pre-designed gamification solutions, this study actively involves students in the design process. It builds on Díaz-Méndez &amp; Gummesson's (2012) work on co-creation in higher education, applying it specifically to gamification.</w:t>
      </w:r>
    </w:p>
    <w:p w14:paraId="2C6921DD" w14:textId="77777777" w:rsidR="002D4614" w:rsidRPr="002D4614" w:rsidRDefault="002D4614" w:rsidP="002D4614">
      <w:pPr>
        <w:pStyle w:val="NormalWeb"/>
        <w:ind w:left="300" w:right="300"/>
        <w:divId w:val="465317432"/>
        <w:rPr>
          <w:rFonts w:ascii="Arial" w:hAnsi="Arial" w:cs="Arial"/>
          <w:lang w:val="en"/>
        </w:rPr>
      </w:pPr>
      <w:r w:rsidRPr="002D4614">
        <w:rPr>
          <w:rFonts w:ascii="Arial" w:hAnsi="Arial" w:cs="Arial"/>
          <w:lang w:val="en"/>
        </w:rPr>
        <w:t>The findings support Coates' (2005) emphasis on student engagement as an indicator of course quality and Bryson's (2016) work on partnerships in higher education. The study demonstrates how gamification can foster these partnerships.</w:t>
      </w:r>
    </w:p>
    <w:p w14:paraId="5E0F6F54" w14:textId="5844DD98" w:rsidR="00234B39" w:rsidRDefault="002D4614" w:rsidP="002D4614">
      <w:pPr>
        <w:pStyle w:val="NormalWeb"/>
        <w:divId w:val="465317432"/>
        <w:rPr>
          <w:rFonts w:ascii="Arial" w:hAnsi="Arial" w:cs="Arial"/>
          <w:lang w:val="en"/>
        </w:rPr>
      </w:pPr>
      <w:r w:rsidRPr="002D4614">
        <w:rPr>
          <w:rFonts w:ascii="Arial" w:hAnsi="Arial" w:cs="Arial"/>
          <w:lang w:val="en"/>
        </w:rPr>
        <w:t>Uniquely, this research highlights the dynamic nature of co-creation, showing how continuous feedback and adjustment can enhance the learning experience and outcomes.</w:t>
      </w:r>
    </w:p>
    <w:p w14:paraId="112EDBB6" w14:textId="01F823F6"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0E5FBBC" w14:textId="77777777" w:rsidR="002D4614" w:rsidRPr="002D4614" w:rsidRDefault="002D4614" w:rsidP="002D4614">
      <w:pPr>
        <w:pStyle w:val="NormalWeb"/>
        <w:divId w:val="465317432"/>
        <w:rPr>
          <w:rFonts w:ascii="Arial" w:hAnsi="Arial" w:cs="Arial"/>
        </w:rPr>
      </w:pPr>
      <w:r w:rsidRPr="002D4614">
        <w:rPr>
          <w:rFonts w:ascii="Arial" w:hAnsi="Arial" w:cs="Arial"/>
        </w:rPr>
        <w:t>Future applications of this paper's findings in Gamification Based Learning could include:</w:t>
      </w:r>
    </w:p>
    <w:p w14:paraId="31F726AD"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Developing adaptive learning systems that personalize experiences based on student input.</w:t>
      </w:r>
    </w:p>
    <w:p w14:paraId="71938A58"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Applying co-creation across various academic disciplines to identify subject-specific effective gamification elements.</w:t>
      </w:r>
    </w:p>
    <w:p w14:paraId="442F4775"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Conducting long-term studies on the impact of co-created GBL on engagement and knowledge retention.</w:t>
      </w:r>
    </w:p>
    <w:p w14:paraId="64D52626"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Adapting the co-creation process for online and remote learning environments.</w:t>
      </w:r>
    </w:p>
    <w:p w14:paraId="6025670E"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Implementing continuous improvement models for GBL systems based on ongoing student feedback.</w:t>
      </w:r>
    </w:p>
    <w:p w14:paraId="15EF6978"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Encouraging student-led innovation in educational technology through extended co-creation approaches.</w:t>
      </w:r>
    </w:p>
    <w:p w14:paraId="1CADCADB"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Collaborating with industry professionals to align gamification elements with real-world skills.</w:t>
      </w:r>
    </w:p>
    <w:p w14:paraId="524BF81E"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Focusing on creating more inclusive and accessible GBL systems.</w:t>
      </w:r>
    </w:p>
    <w:p w14:paraId="477A7874"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Leveraging co-creation to develop gamification elements that promote peer-to-peer learning.</w:t>
      </w:r>
    </w:p>
    <w:p w14:paraId="406BE703" w14:textId="77777777" w:rsidR="002D4614" w:rsidRPr="002D4614" w:rsidRDefault="002D4614" w:rsidP="002D4614">
      <w:pPr>
        <w:pStyle w:val="NormalWeb"/>
        <w:numPr>
          <w:ilvl w:val="0"/>
          <w:numId w:val="9"/>
        </w:numPr>
        <w:divId w:val="465317432"/>
        <w:rPr>
          <w:rFonts w:ascii="Arial" w:hAnsi="Arial" w:cs="Arial"/>
        </w:rPr>
      </w:pPr>
      <w:r w:rsidRPr="002D4614">
        <w:rPr>
          <w:rFonts w:ascii="Arial" w:hAnsi="Arial" w:cs="Arial"/>
        </w:rPr>
        <w:t>Exploring integration of co-created gamification elements into formal assessment processes.</w:t>
      </w:r>
    </w:p>
    <w:p w14:paraId="068A3503" w14:textId="77777777" w:rsidR="002D4614" w:rsidRPr="002D4614" w:rsidRDefault="002D4614" w:rsidP="002D4614">
      <w:pPr>
        <w:pStyle w:val="NormalWeb"/>
        <w:divId w:val="465317432"/>
        <w:rPr>
          <w:rFonts w:ascii="Arial" w:hAnsi="Arial" w:cs="Arial"/>
        </w:rPr>
      </w:pPr>
      <w:r w:rsidRPr="002D4614">
        <w:rPr>
          <w:rFonts w:ascii="Arial" w:hAnsi="Arial" w:cs="Arial"/>
        </w:rPr>
        <w:t>These applications demonstrate the potential of co-creation in GBL to enhance educational experiences across various contexts and learning environments.</w:t>
      </w:r>
    </w:p>
    <w:p w14:paraId="33E827BF" w14:textId="77777777" w:rsidR="002D4614" w:rsidRDefault="002D4614">
      <w:pPr>
        <w:pStyle w:val="NormalWeb"/>
        <w:divId w:val="465317432"/>
        <w:rPr>
          <w:rFonts w:ascii="Arial" w:hAnsi="Arial" w:cs="Arial"/>
          <w:lang w:val="en"/>
        </w:rPr>
      </w:pPr>
    </w:p>
    <w:p w14:paraId="16837D87" w14:textId="77777777" w:rsidR="002D4614" w:rsidRDefault="002D4614">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330F6005"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425AA6" w:rsidRPr="00425AA6">
        <w:rPr>
          <w:rFonts w:ascii="Arial" w:hAnsi="Arial" w:cs="Arial"/>
        </w:rPr>
        <w:t>The summary clearly presents the study's focus on co-creating gamification-based learning in higher education. It effectively contrasts this approach with previous research, highlights key findings on student engagement and satisfaction, and outlines future applications. The ideas are presented logically and concisely, making the content easily understandable.</w:t>
      </w:r>
    </w:p>
    <w:p w14:paraId="2C98F647" w14:textId="1FC56204"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425AA6" w:rsidRPr="00425AA6">
        <w:rPr>
          <w:rFonts w:ascii="Arial" w:hAnsi="Arial" w:cs="Arial"/>
        </w:rPr>
        <w:t>The summary accurately represents the key points, data, and conclusions of the research paper. It correctly highlights the co-creation approach, contrasts it with previous studies, and presents the main findings on student engagement and satisfaction. The summary also accurately reflects the paper's conclusions and potential future applications of the research.</w:t>
      </w:r>
    </w:p>
    <w:p w14:paraId="032CD3EB" w14:textId="25AD25EF"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425AA6" w:rsidRPr="00425AA6">
        <w:rPr>
          <w:rFonts w:ascii="Arial" w:hAnsi="Arial" w:cs="Arial"/>
        </w:rPr>
        <w:t>The summary closely aligns with the research paper's objectives. It accurately represents the study's focus on co-creating gamification-based learning, contrasts it with previous research, and highlights key findings on student engagement and partnerships. The proposed future applications directly extend the paper's findings, demonstrating relevance to the study's goals.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D431869" w14:textId="77777777" w:rsidR="00AA47C3"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E1A6E14" w14:textId="420C636A" w:rsidR="0046607C" w:rsidRDefault="00AA47C3" w:rsidP="00AA47C3">
      <w:pPr>
        <w:pStyle w:val="NormalWeb"/>
        <w:divId w:val="465317432"/>
        <w:rPr>
          <w:rFonts w:ascii="Arial" w:hAnsi="Arial" w:cs="Arial"/>
          <w:lang w:val="en"/>
        </w:rPr>
      </w:pPr>
      <w:r w:rsidRPr="00AA47C3">
        <w:rPr>
          <w:rFonts w:ascii="Arial" w:hAnsi="Arial" w:cs="Arial"/>
        </w:rPr>
        <w:t xml:space="preserve">I improved my comprehension of summarizing and </w:t>
      </w:r>
      <w:proofErr w:type="spellStart"/>
      <w:r w:rsidRPr="00AA47C3">
        <w:rPr>
          <w:rFonts w:ascii="Arial" w:hAnsi="Arial" w:cs="Arial"/>
        </w:rPr>
        <w:t>analyzing</w:t>
      </w:r>
      <w:proofErr w:type="spellEnd"/>
      <w:r w:rsidRPr="00AA47C3">
        <w:rPr>
          <w:rFonts w:ascii="Arial" w:hAnsi="Arial" w:cs="Arial"/>
        </w:rPr>
        <w:t xml:space="preserve"> research documents with the help of prompt engineering techniques. A crucial lesson was the significance of creating specific and focused prompts. At first, I discovered that general prompts frequently resulted in brief summaries that lacked depth or overlooked important elements. Through repeating the prompts and concentrating on particular parts or elements of the paper, I was able to produce summaries that were more precise and pertinent.</w:t>
      </w:r>
      <w:r w:rsidRPr="00AA47C3">
        <w:rPr>
          <w:rFonts w:ascii="Arial" w:hAnsi="Arial" w:cs="Arial"/>
        </w:rPr>
        <w:br/>
      </w:r>
      <w:r w:rsidRPr="00AA47C3">
        <w:rPr>
          <w:rFonts w:ascii="Arial" w:hAnsi="Arial" w:cs="Arial"/>
        </w:rPr>
        <w:br/>
        <w:t>One major obstacle I faced was making sure that the resulting outcomes remained clear and precise. Refining prompts multiple times and being careful with the language used to guide the AI was essential in balancing these elements. Another difficulty involved determining if a summary was overly technical or too basic, depending on who it was intended for.</w:t>
      </w:r>
      <w:r w:rsidRPr="00AA47C3">
        <w:rPr>
          <w:rFonts w:ascii="Arial" w:hAnsi="Arial" w:cs="Arial"/>
        </w:rPr>
        <w:br/>
      </w:r>
      <w:r w:rsidRPr="00AA47C3">
        <w:rPr>
          <w:rFonts w:ascii="Arial" w:hAnsi="Arial" w:cs="Arial"/>
        </w:rPr>
        <w:br/>
        <w:t>The experience also showed me the importance of refining prompts in order to obtain the expected outcomes. Minor changes, like emphasizing constraints or practical uses, had a big impact on the depth of understanding.</w:t>
      </w:r>
      <w:r w:rsidRPr="00AA47C3">
        <w:rPr>
          <w:rFonts w:ascii="Arial" w:hAnsi="Arial" w:cs="Arial"/>
        </w:rPr>
        <w:br/>
      </w:r>
      <w:r w:rsidRPr="00AA47C3">
        <w:rPr>
          <w:rFonts w:ascii="Arial" w:hAnsi="Arial" w:cs="Arial"/>
        </w:rPr>
        <w:br/>
        <w:t>In general, this task emphasized the significance of accuracy in prompt creation and offered valuable experience in summarizing complicated information. Creating effective prompts is not a single-step task, but rather a constantly changing practice as shown by the iterative process.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06D8F"/>
    <w:multiLevelType w:val="multilevel"/>
    <w:tmpl w:val="CEA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39981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C2509"/>
    <w:rsid w:val="001C773C"/>
    <w:rsid w:val="001D6E80"/>
    <w:rsid w:val="00234B39"/>
    <w:rsid w:val="002D4614"/>
    <w:rsid w:val="00407DAE"/>
    <w:rsid w:val="00425AA6"/>
    <w:rsid w:val="0046607C"/>
    <w:rsid w:val="005244B8"/>
    <w:rsid w:val="00832A22"/>
    <w:rsid w:val="009C6BC5"/>
    <w:rsid w:val="00A958D5"/>
    <w:rsid w:val="00AA47C3"/>
    <w:rsid w:val="00B45D63"/>
    <w:rsid w:val="00CF5615"/>
    <w:rsid w:val="00D72BC0"/>
    <w:rsid w:val="00D93468"/>
    <w:rsid w:val="00DD5008"/>
    <w:rsid w:val="00E6031D"/>
    <w:rsid w:val="00EB2D84"/>
    <w:rsid w:val="00EB63BE"/>
    <w:rsid w:val="00FC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9506561">
                  <w:marLeft w:val="0"/>
                  <w:marRight w:val="0"/>
                  <w:marTop w:val="0"/>
                  <w:marBottom w:val="0"/>
                  <w:divBdr>
                    <w:top w:val="none" w:sz="0" w:space="0" w:color="auto"/>
                    <w:left w:val="none" w:sz="0" w:space="0" w:color="auto"/>
                    <w:bottom w:val="none" w:sz="0" w:space="0" w:color="auto"/>
                    <w:right w:val="none" w:sz="0" w:space="0" w:color="auto"/>
                  </w:divBdr>
                </w:div>
                <w:div w:id="1549146972">
                  <w:marLeft w:val="0"/>
                  <w:marRight w:val="0"/>
                  <w:marTop w:val="0"/>
                  <w:marBottom w:val="0"/>
                  <w:divBdr>
                    <w:top w:val="none" w:sz="0" w:space="0" w:color="auto"/>
                    <w:left w:val="none" w:sz="0" w:space="0" w:color="auto"/>
                    <w:bottom w:val="none" w:sz="0" w:space="0" w:color="auto"/>
                    <w:right w:val="none" w:sz="0" w:space="0" w:color="auto"/>
                  </w:divBdr>
                </w:div>
                <w:div w:id="45879372">
                  <w:marLeft w:val="0"/>
                  <w:marRight w:val="0"/>
                  <w:marTop w:val="0"/>
                  <w:marBottom w:val="0"/>
                  <w:divBdr>
                    <w:top w:val="none" w:sz="0" w:space="0" w:color="auto"/>
                    <w:left w:val="none" w:sz="0" w:space="0" w:color="auto"/>
                    <w:bottom w:val="none" w:sz="0" w:space="0" w:color="auto"/>
                    <w:right w:val="none" w:sz="0" w:space="0" w:color="auto"/>
                  </w:divBdr>
                </w:div>
                <w:div w:id="2064794956">
                  <w:marLeft w:val="0"/>
                  <w:marRight w:val="0"/>
                  <w:marTop w:val="0"/>
                  <w:marBottom w:val="0"/>
                  <w:divBdr>
                    <w:top w:val="none" w:sz="0" w:space="0" w:color="auto"/>
                    <w:left w:val="none" w:sz="0" w:space="0" w:color="auto"/>
                    <w:bottom w:val="none" w:sz="0" w:space="0" w:color="auto"/>
                    <w:right w:val="none" w:sz="0" w:space="0" w:color="auto"/>
                  </w:divBdr>
                </w:div>
                <w:div w:id="521239440">
                  <w:marLeft w:val="0"/>
                  <w:marRight w:val="0"/>
                  <w:marTop w:val="0"/>
                  <w:marBottom w:val="0"/>
                  <w:divBdr>
                    <w:top w:val="none" w:sz="0" w:space="0" w:color="auto"/>
                    <w:left w:val="none" w:sz="0" w:space="0" w:color="auto"/>
                    <w:bottom w:val="none" w:sz="0" w:space="0" w:color="auto"/>
                    <w:right w:val="none" w:sz="0" w:space="0" w:color="auto"/>
                  </w:divBdr>
                </w:div>
                <w:div w:id="70425406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892</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Sabrish Varadharajan</cp:lastModifiedBy>
  <cp:revision>11</cp:revision>
  <dcterms:created xsi:type="dcterms:W3CDTF">2024-08-11T10:13:00Z</dcterms:created>
  <dcterms:modified xsi:type="dcterms:W3CDTF">2024-08-25T18:26:00Z</dcterms:modified>
</cp:coreProperties>
</file>