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F16A" w14:textId="2D7812DB" w:rsidR="008D32D4" w:rsidRDefault="008D32D4" w:rsidP="008D32D4">
      <w:pPr>
        <w:spacing w:after="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Capitolo 9: query innes</w:t>
      </w:r>
      <w:r w:rsidR="001D302E">
        <w:rPr>
          <w:rFonts w:ascii="Calibri" w:hAnsi="Calibri" w:cs="Calibri"/>
          <w:b/>
          <w:bCs/>
        </w:rPr>
        <w:t>t</w:t>
      </w:r>
      <w:r>
        <w:rPr>
          <w:rFonts w:ascii="Calibri" w:hAnsi="Calibri" w:cs="Calibri"/>
          <w:b/>
          <w:bCs/>
        </w:rPr>
        <w:t xml:space="preserve">ate </w:t>
      </w:r>
    </w:p>
    <w:p w14:paraId="235C6880" w14:textId="03E8524E" w:rsidR="008D32D4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alcune parti della SELECT non è possibile avere una SELECT innestate: </w:t>
      </w:r>
    </w:p>
    <w:p w14:paraId="6E3C25FF" w14:textId="7F8BDAFE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----------- NO</w:t>
      </w:r>
      <w:r w:rsidRPr="001D302E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r w:rsidRPr="001D302E">
        <w:rPr>
          <w:rFonts w:ascii="Calibri" w:hAnsi="Calibri" w:cs="Calibri"/>
          <w:sz w:val="22"/>
          <w:szCs w:val="22"/>
        </w:rPr>
        <w:t>perché seleziono i singoli attributi, non singole selezioni quindi singole SELECT, e se lo facessi avrei una singola riga in cui vi sono un insieme di righe e ne</w:t>
      </w:r>
      <w:r>
        <w:rPr>
          <w:rFonts w:ascii="Calibri" w:hAnsi="Calibri" w:cs="Calibri"/>
          <w:sz w:val="22"/>
          <w:szCs w:val="22"/>
        </w:rPr>
        <w:t xml:space="preserve">lla </w:t>
      </w:r>
      <w:r w:rsidRPr="001D302E">
        <w:rPr>
          <w:rFonts w:ascii="Calibri" w:hAnsi="Calibri" w:cs="Calibri"/>
          <w:sz w:val="22"/>
          <w:szCs w:val="22"/>
        </w:rPr>
        <w:t>relazione non posso farlo</w:t>
      </w:r>
    </w:p>
    <w:p w14:paraId="2D8CFE47" w14:textId="335D3E6E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------------- SI </w:t>
      </w:r>
    </w:p>
    <w:p w14:paraId="6A32E70D" w14:textId="2B487473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---------- SI</w:t>
      </w:r>
    </w:p>
    <w:p w14:paraId="70B47FB5" w14:textId="36399AB6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GROUP BY ----------- NO </w:t>
      </w:r>
      <w:r w:rsidRPr="001D302E"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stesso motivo della SELECT</w:t>
      </w:r>
    </w:p>
    <w:p w14:paraId="20EEFF06" w14:textId="2B98ADE3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HAVING ---------- SI</w:t>
      </w:r>
    </w:p>
    <w:p w14:paraId="01C85622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b/>
          <w:bCs/>
          <w:sz w:val="22"/>
          <w:szCs w:val="22"/>
        </w:rPr>
        <w:t>Esempio con select innestate:</w:t>
      </w:r>
    </w:p>
    <w:p w14:paraId="7D9D1A9C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 xml:space="preserve">SELECT stud1.matr1, matricola, nome, cognome </w:t>
      </w:r>
    </w:p>
    <w:p w14:paraId="0F12BEB9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FROM studenti JOIN (</w:t>
      </w:r>
    </w:p>
    <w:p w14:paraId="5D2B86E9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select matricola AS matr1, nome, cognome</w:t>
      </w:r>
    </w:p>
    <w:p w14:paraId="69E39253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from Studenti</w:t>
      </w:r>
    </w:p>
    <w:p w14:paraId="5A7179C1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) AS stud1</w:t>
      </w:r>
    </w:p>
    <w:p w14:paraId="3EF47E33" w14:textId="5C139FDB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proofErr w:type="spellStart"/>
      <w:r w:rsidRPr="001D302E">
        <w:rPr>
          <w:rFonts w:ascii="Calibri" w:hAnsi="Calibri" w:cs="Calibri"/>
          <w:sz w:val="22"/>
          <w:szCs w:val="22"/>
        </w:rPr>
        <w:t>Where</w:t>
      </w:r>
      <w:proofErr w:type="spellEnd"/>
      <w:r w:rsidRPr="001D302E">
        <w:rPr>
          <w:rFonts w:ascii="Calibri" w:hAnsi="Calibri" w:cs="Calibri"/>
          <w:sz w:val="22"/>
          <w:szCs w:val="22"/>
        </w:rPr>
        <w:t xml:space="preserve"> matricola &lt;&gt; stud1.matr1</w:t>
      </w:r>
    </w:p>
    <w:p w14:paraId="449A35C1" w14:textId="77777777" w:rsidR="001D302E" w:rsidRPr="001D302E" w:rsidRDefault="001D302E" w:rsidP="001D302E">
      <w:pPr>
        <w:spacing w:after="20"/>
        <w:rPr>
          <w:rFonts w:ascii="Calibri" w:hAnsi="Calibri" w:cs="Calibri"/>
          <w:sz w:val="22"/>
          <w:szCs w:val="22"/>
        </w:rPr>
      </w:pPr>
      <w:r w:rsidRPr="001D302E">
        <w:rPr>
          <w:rFonts w:ascii="Calibri" w:hAnsi="Calibri" w:cs="Calibri"/>
          <w:b/>
          <w:bCs/>
          <w:sz w:val="22"/>
          <w:szCs w:val="22"/>
        </w:rPr>
        <w:t>Ordine:</w:t>
      </w:r>
    </w:p>
    <w:p w14:paraId="6B0D1509" w14:textId="77777777" w:rsidR="001D302E" w:rsidRPr="001D302E" w:rsidRDefault="001D302E" w:rsidP="001D302E">
      <w:pPr>
        <w:numPr>
          <w:ilvl w:val="0"/>
          <w:numId w:val="1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Select interna</w:t>
      </w:r>
    </w:p>
    <w:p w14:paraId="6FECF7FF" w14:textId="77777777" w:rsidR="001D302E" w:rsidRPr="001D302E" w:rsidRDefault="001D302E" w:rsidP="001D302E">
      <w:pPr>
        <w:numPr>
          <w:ilvl w:val="0"/>
          <w:numId w:val="1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 xml:space="preserve">Join </w:t>
      </w:r>
    </w:p>
    <w:p w14:paraId="70F2EA0B" w14:textId="77777777" w:rsidR="001D302E" w:rsidRPr="001D302E" w:rsidRDefault="001D302E" w:rsidP="001D302E">
      <w:pPr>
        <w:numPr>
          <w:ilvl w:val="0"/>
          <w:numId w:val="1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Filtraggio (</w:t>
      </w:r>
      <w:proofErr w:type="spellStart"/>
      <w:r w:rsidRPr="001D302E">
        <w:rPr>
          <w:rFonts w:ascii="Calibri" w:hAnsi="Calibri" w:cs="Calibri"/>
          <w:sz w:val="22"/>
          <w:szCs w:val="22"/>
        </w:rPr>
        <w:t>where</w:t>
      </w:r>
      <w:proofErr w:type="spellEnd"/>
      <w:r w:rsidRPr="001D302E">
        <w:rPr>
          <w:rFonts w:ascii="Calibri" w:hAnsi="Calibri" w:cs="Calibri"/>
          <w:sz w:val="22"/>
          <w:szCs w:val="22"/>
        </w:rPr>
        <w:t>)</w:t>
      </w:r>
    </w:p>
    <w:p w14:paraId="3209A44E" w14:textId="77777777" w:rsidR="001D302E" w:rsidRPr="001D302E" w:rsidRDefault="001D302E" w:rsidP="001D302E">
      <w:pPr>
        <w:numPr>
          <w:ilvl w:val="0"/>
          <w:numId w:val="1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 w:rsidRPr="001D302E">
        <w:rPr>
          <w:rFonts w:ascii="Calibri" w:hAnsi="Calibri" w:cs="Calibri"/>
          <w:sz w:val="22"/>
          <w:szCs w:val="22"/>
        </w:rPr>
        <w:t>Select esterna</w:t>
      </w:r>
    </w:p>
    <w:p w14:paraId="72D1DDDB" w14:textId="5ABC77EC" w:rsidR="001D302E" w:rsidRDefault="001D302E" w:rsidP="008D32D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WHERE innestate </w:t>
      </w:r>
    </w:p>
    <w:p w14:paraId="518AE1B5" w14:textId="5DA3A495" w:rsidR="001D302E" w:rsidRDefault="001D302E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L’uso di </w:t>
      </w:r>
      <w:proofErr w:type="spellStart"/>
      <w:r>
        <w:rPr>
          <w:rFonts w:ascii="Calibri" w:hAnsi="Calibri" w:cs="Calibri"/>
          <w:sz w:val="22"/>
          <w:szCs w:val="22"/>
        </w:rPr>
        <w:t>where</w:t>
      </w:r>
      <w:proofErr w:type="spellEnd"/>
      <w:r>
        <w:rPr>
          <w:rFonts w:ascii="Calibri" w:hAnsi="Calibri" w:cs="Calibri"/>
          <w:sz w:val="22"/>
          <w:szCs w:val="22"/>
        </w:rPr>
        <w:t xml:space="preserve"> innestate richiede di ottenere più espressioni booleane, per cui avremo</w:t>
      </w:r>
      <w:r w:rsidR="009E4BBA">
        <w:rPr>
          <w:rFonts w:ascii="Calibri" w:hAnsi="Calibri" w:cs="Calibri"/>
          <w:sz w:val="22"/>
          <w:szCs w:val="22"/>
        </w:rPr>
        <w:t xml:space="preserve">: </w:t>
      </w:r>
    </w:p>
    <w:p w14:paraId="62596BB4" w14:textId="54CB090F" w:rsidR="009E4BBA" w:rsidRPr="009E4BBA" w:rsidRDefault="009E4BBA" w:rsidP="008D32D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Condizione d’appartenenza: </w:t>
      </w:r>
    </w:p>
    <w:p w14:paraId="1928E4A2" w14:textId="38CED5AE" w:rsidR="009E4BBA" w:rsidRDefault="009E4BBA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[NOT] IN: controlla l’appartenenza di un valore di un attributo all’insieme delle righe risultanti dalla select innestata</w:t>
      </w:r>
    </w:p>
    <w:p w14:paraId="5C285C43" w14:textId="2AD30921" w:rsidR="009E4BBA" w:rsidRPr="009E4BBA" w:rsidRDefault="009E4BBA" w:rsidP="008D32D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Condizione d’esistenza: </w:t>
      </w:r>
    </w:p>
    <w:p w14:paraId="14C1A941" w14:textId="79998849" w:rsidR="009E4BBA" w:rsidRDefault="009E4BBA" w:rsidP="008D32D4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[NOT] EXISTS: controllo se l’insieme delle righe che sto cercando con la select innestata ha almeno una riga o è vuoto. </w:t>
      </w:r>
    </w:p>
    <w:p w14:paraId="52E0AABD" w14:textId="3A9CD05C" w:rsidR="009E4BBA" w:rsidRDefault="009E4BBA" w:rsidP="008D32D4">
      <w:p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Forma generale: </w:t>
      </w:r>
    </w:p>
    <w:p w14:paraId="2C94FC9E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SELECT A1,..An</w:t>
      </w:r>
    </w:p>
    <w:p w14:paraId="6AABFEDB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FROM &lt;tabella&gt;/&lt;</w:t>
      </w:r>
      <w:proofErr w:type="spellStart"/>
      <w:r w:rsidRPr="009E4BBA">
        <w:rPr>
          <w:rFonts w:ascii="Calibri" w:hAnsi="Calibri" w:cs="Calibri"/>
          <w:sz w:val="22"/>
          <w:szCs w:val="22"/>
        </w:rPr>
        <w:t>view</w:t>
      </w:r>
      <w:proofErr w:type="spellEnd"/>
      <w:r w:rsidRPr="009E4BBA">
        <w:rPr>
          <w:rFonts w:ascii="Calibri" w:hAnsi="Calibri" w:cs="Calibri"/>
          <w:sz w:val="22"/>
          <w:szCs w:val="22"/>
        </w:rPr>
        <w:t>&gt;/&lt;join&gt;</w:t>
      </w:r>
    </w:p>
    <w:p w14:paraId="635D0002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WHERE A1,...Ak [NOT] IN (</w:t>
      </w:r>
    </w:p>
    <w:p w14:paraId="01D62E83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SELECT B1,...,Bk</w:t>
      </w:r>
    </w:p>
    <w:p w14:paraId="10C30CA4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FROM &lt;tabella&gt;/&lt;</w:t>
      </w:r>
      <w:proofErr w:type="spellStart"/>
      <w:r w:rsidRPr="009E4BBA">
        <w:rPr>
          <w:rFonts w:ascii="Calibri" w:hAnsi="Calibri" w:cs="Calibri"/>
          <w:sz w:val="22"/>
          <w:szCs w:val="22"/>
        </w:rPr>
        <w:t>view</w:t>
      </w:r>
      <w:proofErr w:type="spellEnd"/>
      <w:r w:rsidRPr="009E4BBA">
        <w:rPr>
          <w:rFonts w:ascii="Calibri" w:hAnsi="Calibri" w:cs="Calibri"/>
          <w:sz w:val="22"/>
          <w:szCs w:val="22"/>
        </w:rPr>
        <w:t>&gt;/&lt;join&gt;</w:t>
      </w:r>
    </w:p>
    <w:p w14:paraId="25C8BA23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[WHERE &lt;</w:t>
      </w:r>
      <w:proofErr w:type="spellStart"/>
      <w:r w:rsidRPr="009E4BBA">
        <w:rPr>
          <w:rFonts w:ascii="Calibri" w:hAnsi="Calibri" w:cs="Calibri"/>
          <w:sz w:val="22"/>
          <w:szCs w:val="22"/>
        </w:rPr>
        <w:t>condizione_booleana</w:t>
      </w:r>
      <w:proofErr w:type="spellEnd"/>
      <w:r w:rsidRPr="009E4BBA">
        <w:rPr>
          <w:rFonts w:ascii="Calibri" w:hAnsi="Calibri" w:cs="Calibri"/>
          <w:sz w:val="22"/>
          <w:szCs w:val="22"/>
        </w:rPr>
        <w:t>&gt;]</w:t>
      </w:r>
    </w:p>
    <w:p w14:paraId="209990EE" w14:textId="77777777" w:rsidR="009E4BBA" w:rsidRP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)</w:t>
      </w:r>
    </w:p>
    <w:p w14:paraId="62C221B7" w14:textId="276F08D0" w:rsidR="009E4BBA" w:rsidRDefault="009E4BBA" w:rsidP="009E4BBA">
      <w:pPr>
        <w:pStyle w:val="Paragrafoelenco"/>
        <w:numPr>
          <w:ilvl w:val="0"/>
          <w:numId w:val="2"/>
        </w:numPr>
        <w:spacing w:after="20"/>
        <w:rPr>
          <w:rFonts w:ascii="Calibri" w:hAnsi="Calibri" w:cs="Calibri"/>
          <w:sz w:val="22"/>
          <w:szCs w:val="22"/>
        </w:rPr>
      </w:pPr>
      <w:r w:rsidRPr="009E4BBA">
        <w:rPr>
          <w:rFonts w:ascii="Calibri" w:hAnsi="Calibri" w:cs="Calibri"/>
          <w:sz w:val="22"/>
          <w:szCs w:val="22"/>
        </w:rPr>
        <w:t>è necessario che ci siano lo stesso numero di attributi e lo stesso dominio per A1,...Ak e B1,...</w:t>
      </w:r>
      <w:proofErr w:type="gramStart"/>
      <w:r w:rsidRPr="009E4BBA">
        <w:rPr>
          <w:rFonts w:ascii="Calibri" w:hAnsi="Calibri" w:cs="Calibri"/>
          <w:sz w:val="22"/>
          <w:szCs w:val="22"/>
        </w:rPr>
        <w:t>Bk</w:t>
      </w:r>
      <w:r w:rsidR="00F320D5">
        <w:rPr>
          <w:rFonts w:ascii="Calibri" w:hAnsi="Calibri" w:cs="Calibri"/>
          <w:sz w:val="22"/>
          <w:szCs w:val="22"/>
        </w:rPr>
        <w:t>, quindi</w:t>
      </w:r>
      <w:proofErr w:type="gramEnd"/>
      <w:r w:rsidR="00F320D5">
        <w:rPr>
          <w:rFonts w:ascii="Calibri" w:hAnsi="Calibri" w:cs="Calibri"/>
          <w:sz w:val="22"/>
          <w:szCs w:val="22"/>
        </w:rPr>
        <w:t xml:space="preserve"> che i due insiemi abbiano la stessa struttura</w:t>
      </w:r>
    </w:p>
    <w:p w14:paraId="730E8BC7" w14:textId="081B61D9" w:rsidR="009E4BBA" w:rsidRPr="00F320D5" w:rsidRDefault="009E4BBA" w:rsidP="009E4BBA">
      <w:pPr>
        <w:spacing w:after="20"/>
        <w:rPr>
          <w:rFonts w:ascii="Calibri" w:hAnsi="Calibri" w:cs="Calibri"/>
          <w:b/>
          <w:bCs/>
        </w:rPr>
      </w:pPr>
      <w:r w:rsidRPr="00F320D5">
        <w:rPr>
          <w:rFonts w:ascii="Calibri" w:hAnsi="Calibri" w:cs="Calibri"/>
          <w:b/>
          <w:bCs/>
        </w:rPr>
        <w:t>Select innestate e dipendenza</w:t>
      </w:r>
    </w:p>
    <w:p w14:paraId="24344666" w14:textId="08E917C5" w:rsidR="009E4BBA" w:rsidRDefault="009E4BBA" w:rsidP="009E4BBA">
      <w:pPr>
        <w:spacing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Il 95% delle select sono dipendenti e per cui sono pesanti dal punto di vista delle prestazioni, a differenza di quelle indipendenti che sono più efficienti: </w:t>
      </w:r>
    </w:p>
    <w:p w14:paraId="7A43EDE6" w14:textId="72C3FC9E" w:rsidR="009E4BBA" w:rsidRPr="00F320D5" w:rsidRDefault="009E4BBA" w:rsidP="009E4BBA">
      <w:pPr>
        <w:pStyle w:val="Paragrafoelenco"/>
        <w:numPr>
          <w:ilvl w:val="0"/>
          <w:numId w:val="3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Una select innestata che non fa riferimento a nessun attributo dichiarato nella select esterna </w:t>
      </w:r>
      <w:r w:rsidR="00F320D5">
        <w:rPr>
          <w:rFonts w:ascii="Calibri" w:hAnsi="Calibri" w:cs="Calibri"/>
          <w:sz w:val="22"/>
          <w:szCs w:val="22"/>
        </w:rPr>
        <w:t>è caratterizzata dal fatto che la select interna viene eseguita una sola volta e può essere eseguita nella select interna</w:t>
      </w:r>
    </w:p>
    <w:p w14:paraId="38CCC962" w14:textId="6DC15A56" w:rsidR="00F320D5" w:rsidRPr="00F320D5" w:rsidRDefault="00F320D5" w:rsidP="009E4BBA">
      <w:pPr>
        <w:pStyle w:val="Paragrafoelenco"/>
        <w:numPr>
          <w:ilvl w:val="0"/>
          <w:numId w:val="3"/>
        </w:numPr>
        <w:spacing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select innestata e dipendente, quindi la select interna fa riferimento ad attributi della select esterna, è caratterizzata dal fatto che la select interna è correlata a quella esterna per cui la select interna deve essere eseguita per ogni record della select esterna. </w:t>
      </w:r>
    </w:p>
    <w:p w14:paraId="2FC75656" w14:textId="59EFB079" w:rsidR="00F320D5" w:rsidRPr="00F320D5" w:rsidRDefault="00F320D5" w:rsidP="00F320D5">
      <w:pPr>
        <w:spacing w:after="20"/>
        <w:rPr>
          <w:rFonts w:ascii="Calibri" w:hAnsi="Calibri" w:cs="Calibri"/>
          <w:sz w:val="22"/>
          <w:szCs w:val="22"/>
        </w:rPr>
      </w:pPr>
    </w:p>
    <w:sectPr w:rsidR="00F320D5" w:rsidRPr="00F320D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0F91"/>
    <w:multiLevelType w:val="hybridMultilevel"/>
    <w:tmpl w:val="BFDAAE2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E7E6B"/>
    <w:multiLevelType w:val="multilevel"/>
    <w:tmpl w:val="55AE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D7668"/>
    <w:multiLevelType w:val="hybridMultilevel"/>
    <w:tmpl w:val="7696B58C"/>
    <w:lvl w:ilvl="0" w:tplc="DC147BB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96233">
    <w:abstractNumId w:val="1"/>
    <w:lvlOverride w:ilvl="0">
      <w:startOverride w:val="1"/>
    </w:lvlOverride>
  </w:num>
  <w:num w:numId="2" w16cid:durableId="274561591">
    <w:abstractNumId w:val="2"/>
  </w:num>
  <w:num w:numId="3" w16cid:durableId="10795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D4"/>
    <w:rsid w:val="001D302E"/>
    <w:rsid w:val="003D160C"/>
    <w:rsid w:val="008D32D4"/>
    <w:rsid w:val="009E4BBA"/>
    <w:rsid w:val="00F3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1ADF"/>
  <w15:chartTrackingRefBased/>
  <w15:docId w15:val="{43E39748-8514-4908-A29F-47705BB3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32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32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32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32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32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32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32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32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32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32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2025-05-14T12:28:00Z</dcterms:created>
  <dcterms:modified xsi:type="dcterms:W3CDTF">2025-05-14T13:08:00Z</dcterms:modified>
</cp:coreProperties>
</file>