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5.0 -->
  <w:body>
    <w:p w14:paraId="4050CFE8" w14:textId="77777777">
      <w:pPr>
        <w:spacing w:before="0" w:after="160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b/>
          <w:bCs/>
        </w:rPr>
        <w:t xml:space="preserve">                                                                                              </w:t>
      </w:r>
    </w:p>
    <w:p w14:paraId="591D9291" w14:textId="77777777">
      <w:pPr>
        <w:spacing w:before="0" w:after="160"/>
        <w:rPr>
          <w:rFonts w:ascii="Calibri" w:eastAsia="Calibri" w:hAnsi="Calibri" w:cs="Calibri"/>
          <w:sz w:val="22"/>
          <w:szCs w:val="22"/>
        </w:rPr>
      </w:pPr>
    </w:p>
    <w:p w14:paraId="0DE5CDF6" w14:textId="77777777">
      <w:pPr>
        <w:spacing w:before="0" w:after="160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</w:p>
    <w:p w14:paraId="0A612C2A" w14:textId="77777777">
      <w:pPr>
        <w:spacing w:before="0" w:after="103"/>
      </w:pPr>
      <w:r>
        <w:rPr>
          <w:b/>
          <w:bCs/>
          <w:sz w:val="27"/>
          <w:szCs w:val="27"/>
        </w:rPr>
        <w:t>         </w:t>
      </w:r>
      <w:r>
        <w:rPr>
          <w:rStyle w:val="Strong"/>
          <w:rFonts w:ascii="Segoe UI" w:eastAsia="Segoe UI" w:hAnsi="Segoe UI" w:cs="Segoe UI"/>
          <w:b/>
          <w:bCs/>
          <w:i w:val="0"/>
          <w:iCs w:val="0"/>
          <w:caps w:val="0"/>
          <w:color w:val="0F1115"/>
          <w:spacing w:val="0"/>
          <w:sz w:val="27"/>
          <w:szCs w:val="27"/>
          <w:shd w:val="clear" w:color="auto" w:fill="FFFFFF"/>
        </w:rPr>
        <w:t> Public Sector Digital Compliance and Financial Management Technology Adoption </w:t>
      </w:r>
    </w:p>
    <w:p w14:paraId="1993CFDB" w14:textId="77777777">
      <w:pPr>
        <w:spacing w:before="0" w:after="103"/>
      </w:pPr>
      <w:r>
        <w:rPr>
          <w:rStyle w:val="Strong"/>
          <w:rFonts w:ascii="Segoe UI" w:eastAsia="Segoe UI" w:hAnsi="Segoe UI" w:cs="Segoe UI"/>
          <w:b/>
          <w:bCs/>
          <w:i w:val="0"/>
          <w:iCs w:val="0"/>
          <w:caps w:val="0"/>
          <w:color w:val="0F1115"/>
          <w:spacing w:val="0"/>
          <w:sz w:val="27"/>
          <w:szCs w:val="27"/>
          <w:shd w:val="clear" w:color="auto" w:fill="FFFFFF"/>
        </w:rPr>
        <w:t>           Survey: A PFMA-Focused Assessment for Public sector Finance Executives</w:t>
      </w:r>
    </w:p>
    <w:p w14:paraId="16BD9DDC" w14:textId="77777777">
      <w:pPr>
        <w:spacing w:before="0" w:after="160"/>
      </w:pPr>
      <w:r>
        <w:rPr>
          <w:b/>
          <w:bCs/>
        </w:rPr>
        <w:t xml:space="preserve">  </w:t>
      </w:r>
    </w:p>
    <w:p w14:paraId="0C07B063" w14:textId="77777777">
      <w:pPr>
        <w:pStyle w:val="Heading3"/>
        <w:keepNext w:val="0"/>
        <w:keepLines w:val="0"/>
        <w:widowControl/>
        <w:shd w:val="clear" w:color="auto" w:fill="FFFFFF"/>
        <w:spacing w:before="480" w:after="240" w:line="450" w:lineRule="atLeast"/>
        <w:ind w:left="0" w:right="0" w:firstLine="0"/>
        <w:rPr>
          <w:rFonts w:ascii="Segoe UI" w:eastAsia="Segoe UI" w:hAnsi="Segoe UI" w:cs="Segoe UI"/>
          <w:b/>
          <w:bCs/>
          <w:i w:val="0"/>
          <w:iCs w:val="0"/>
          <w:caps w:val="0"/>
          <w:smallCaps w:val="0"/>
          <w:color w:val="0F1115"/>
          <w:spacing w:val="0"/>
          <w:sz w:val="30"/>
          <w:szCs w:val="30"/>
        </w:rPr>
      </w:pPr>
      <w:r>
        <w:rPr>
          <w:rFonts w:ascii="Segoe UI" w:eastAsia="Segoe UI" w:hAnsi="Segoe UI" w:cs="Segoe UI"/>
          <w:iCs w:val="0"/>
          <w:caps w:val="0"/>
          <w:smallCaps w:val="0"/>
          <w:color w:val="0F1115"/>
          <w:spacing w:val="0"/>
          <w:sz w:val="30"/>
          <w:szCs w:val="30"/>
        </w:rPr>
        <w:t>Topic 1: Automated Irregular, Fruitless &amp; Wasteful Expenditure Detection</w:t>
      </w:r>
    </w:p>
    <w:p w14:paraId="28718480" w14:textId="77777777">
      <w:pPr>
        <w:pStyle w:val="ds-markdown-paragraph"/>
        <w:widowControl/>
        <w:shd w:val="clear" w:color="auto" w:fill="FFFFFF"/>
        <w:spacing w:before="240" w:after="240"/>
        <w:ind w:left="0" w:right="0" w:firstLine="0"/>
        <w:rPr>
          <w:rFonts w:ascii="Segoe UI" w:eastAsia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Strong"/>
          <w:rFonts w:ascii="Segoe UI" w:eastAsia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Q1.</w:t>
      </w:r>
      <w:r>
        <w:rPr>
          <w:rFonts w:ascii="Segoe UI" w:eastAsia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  <w:t> </w:t>
      </w:r>
      <w:r>
        <w:rPr>
          <w:rFonts w:ascii="Segoe UI" w:eastAsia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  <w:t>Has your department or public entity implemented automated transaction-level controls within the financial system to flag potential irregular, fruitless, or wasteful expenditure before payment release?</w:t>
      </w:r>
    </w:p>
    <w:p w14:paraId="0B5790BD" w14:textId="77777777">
      <w:pPr>
        <w:pStyle w:val="ds-markdown-paragraph"/>
        <w:widowControl/>
        <w:shd w:val="clear" w:color="auto" w:fill="FFFFFF"/>
        <w:spacing w:before="240" w:after="240"/>
        <w:ind w:left="0" w:right="0" w:firstLine="0"/>
        <w:rPr>
          <w:rFonts w:ascii="Segoe UI" w:eastAsia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Strong"/>
          <w:rFonts w:ascii="Segoe UI" w:eastAsia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Q2.</w:t>
      </w:r>
      <w:r>
        <w:rPr>
          <w:rFonts w:ascii="Segoe UI" w:eastAsia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  <w:t> </w:t>
      </w:r>
      <w:r>
        <w:rPr>
          <w:rFonts w:ascii="Segoe UI" w:eastAsia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  <w:t>Is your monthly Irregular Expenditure submission to National Treasury generated through a direct system-to-system interface, eliminating manual re-capturing of data?</w:t>
      </w:r>
    </w:p>
    <w:p w14:paraId="1D574EC9" w14:textId="77777777">
      <w:pPr>
        <w:pStyle w:val="divSection1"/>
      </w:pPr>
      <w:r>
        <w:pict>
          <v:rect id="_x0000_i1025" style="width:451.3pt;height:0.75pt" o:hrpct="1000" o:hrstd="t" o:hrnoshade="t" o:hr="t" filled="t" fillcolor="gray" stroked="f">
            <v:path strokeok="f"/>
          </v:rect>
        </w:pict>
      </w:r>
    </w:p>
    <w:p w14:paraId="610AB49F" w14:textId="77777777">
      <w:pPr>
        <w:pStyle w:val="Heading3"/>
        <w:keepNext w:val="0"/>
        <w:keepLines w:val="0"/>
        <w:widowControl/>
        <w:shd w:val="clear" w:color="auto" w:fill="FFFFFF"/>
        <w:spacing w:before="480" w:after="240" w:line="450" w:lineRule="atLeast"/>
        <w:ind w:left="0" w:right="0" w:firstLine="0"/>
        <w:rPr>
          <w:rFonts w:ascii="Segoe UI" w:eastAsia="Segoe UI" w:hAnsi="Segoe UI" w:cs="Segoe UI"/>
          <w:b/>
          <w:bCs/>
          <w:i w:val="0"/>
          <w:iCs w:val="0"/>
          <w:caps w:val="0"/>
          <w:smallCaps w:val="0"/>
          <w:color w:val="0F1115"/>
          <w:spacing w:val="0"/>
          <w:sz w:val="30"/>
          <w:szCs w:val="30"/>
        </w:rPr>
      </w:pPr>
      <w:r>
        <w:rPr>
          <w:rFonts w:ascii="Segoe UI" w:eastAsia="Segoe UI" w:hAnsi="Segoe UI" w:cs="Segoe UI"/>
          <w:iCs w:val="0"/>
          <w:caps w:val="0"/>
          <w:smallCaps w:val="0"/>
          <w:color w:val="0F1115"/>
          <w:spacing w:val="0"/>
          <w:sz w:val="30"/>
          <w:szCs w:val="30"/>
        </w:rPr>
        <w:t>Topic 2: Digitalised Supply Chain &amp; Bid Committee Compliance</w:t>
      </w:r>
    </w:p>
    <w:p w14:paraId="6F2D5687" w14:textId="77777777">
      <w:pPr>
        <w:pStyle w:val="ds-markdown-paragraph"/>
        <w:widowControl/>
        <w:shd w:val="clear" w:color="auto" w:fill="FFFFFF"/>
        <w:spacing w:before="240" w:after="240"/>
        <w:ind w:left="0" w:right="0" w:firstLine="0"/>
        <w:rPr>
          <w:rFonts w:ascii="Segoe UI" w:eastAsia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Strong"/>
          <w:rFonts w:ascii="Segoe UI" w:eastAsia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Q3.</w:t>
      </w:r>
      <w:r>
        <w:rPr>
          <w:rFonts w:ascii="Segoe UI" w:eastAsia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  <w:t> </w:t>
      </w:r>
      <w:r>
        <w:rPr>
          <w:rFonts w:ascii="Segoe UI" w:eastAsia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  <w:t>Are the financial delegations prescribed by the Accounting Officer and relevant Treasury Regulations automatically enforced as part of the electronic procurement workflow?</w:t>
      </w:r>
    </w:p>
    <w:p w14:paraId="682EA5E9" w14:textId="77777777">
      <w:pPr>
        <w:pStyle w:val="ds-markdown-paragraph"/>
        <w:widowControl/>
        <w:shd w:val="clear" w:color="auto" w:fill="FFFFFF"/>
        <w:spacing w:before="240" w:after="240"/>
        <w:ind w:left="0" w:right="0" w:firstLine="0"/>
        <w:rPr>
          <w:rFonts w:ascii="Segoe UI" w:eastAsia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Strong"/>
          <w:rFonts w:ascii="Segoe UI" w:eastAsia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Q4.</w:t>
      </w:r>
      <w:r>
        <w:rPr>
          <w:rFonts w:ascii="Segoe UI" w:eastAsia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  <w:t> </w:t>
      </w:r>
      <w:r>
        <w:rPr>
          <w:rFonts w:ascii="Segoe UI" w:eastAsia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  <w:t>Can your SCM unit produce a fully digital, time-stamped audit file—from requisition through bid committee adjudication to contract award—without relying on manual or paper-based records?</w:t>
      </w:r>
    </w:p>
    <w:p w14:paraId="17FF031C" w14:textId="77777777">
      <w:pPr>
        <w:pStyle w:val="divSection1"/>
      </w:pPr>
      <w:r>
        <w:pict>
          <v:rect id="_x0000_i1026" style="width:451.3pt;height:0.75pt" o:hrpct="1000" o:hrstd="t" o:hrnoshade="t" o:hr="t" filled="t" fillcolor="gray" stroked="f">
            <v:path strokeok="f"/>
          </v:rect>
        </w:pict>
      </w:r>
    </w:p>
    <w:p w14:paraId="7B28471A" w14:textId="77777777">
      <w:pPr>
        <w:pStyle w:val="Heading3"/>
        <w:keepNext w:val="0"/>
        <w:keepLines w:val="0"/>
        <w:widowControl/>
        <w:shd w:val="clear" w:color="auto" w:fill="FFFFFF"/>
        <w:spacing w:before="480" w:after="240" w:line="450" w:lineRule="atLeast"/>
        <w:ind w:left="0" w:right="0" w:firstLine="0"/>
        <w:rPr>
          <w:rFonts w:ascii="Segoe UI" w:eastAsia="Segoe UI" w:hAnsi="Segoe UI" w:cs="Segoe UI"/>
          <w:b/>
          <w:bCs/>
          <w:i w:val="0"/>
          <w:iCs w:val="0"/>
          <w:caps w:val="0"/>
          <w:smallCaps w:val="0"/>
          <w:color w:val="0F1115"/>
          <w:spacing w:val="0"/>
          <w:sz w:val="30"/>
          <w:szCs w:val="30"/>
        </w:rPr>
      </w:pPr>
      <w:r>
        <w:rPr>
          <w:rFonts w:ascii="Segoe UI" w:eastAsia="Segoe UI" w:hAnsi="Segoe UI" w:cs="Segoe UI"/>
          <w:iCs w:val="0"/>
          <w:caps w:val="0"/>
          <w:smallCaps w:val="0"/>
          <w:color w:val="0F1115"/>
          <w:spacing w:val="0"/>
          <w:sz w:val="30"/>
          <w:szCs w:val="30"/>
        </w:rPr>
        <w:t>Topic 3: Cash Flow Forecasting &amp; Centralised Treasury Operations</w:t>
      </w:r>
    </w:p>
    <w:p w14:paraId="69B275AC" w14:textId="77777777">
      <w:pPr>
        <w:pStyle w:val="ds-markdown-paragraph"/>
        <w:widowControl/>
        <w:shd w:val="clear" w:color="auto" w:fill="FFFFFF"/>
        <w:spacing w:before="240" w:after="240"/>
        <w:ind w:left="0" w:right="0" w:firstLine="0"/>
        <w:rPr>
          <w:rFonts w:ascii="Segoe UI" w:eastAsia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Strong"/>
          <w:rFonts w:ascii="Segoe UI" w:eastAsia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Q5.</w:t>
      </w:r>
      <w:r>
        <w:rPr>
          <w:rFonts w:ascii="Segoe UI" w:eastAsia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  <w:t> </w:t>
      </w:r>
      <w:r>
        <w:rPr>
          <w:rFonts w:ascii="Segoe UI" w:eastAsia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  <w:t>Does your entity use a dedicated Treasury Management System, rather than spreadsheets, as the primary tool for cash flow forecasting?</w:t>
      </w:r>
    </w:p>
    <w:p w14:paraId="42F075F0" w14:textId="77777777">
      <w:pPr>
        <w:pStyle w:val="ds-markdown-paragraph"/>
        <w:widowControl/>
        <w:shd w:val="clear" w:color="auto" w:fill="FFFFFF"/>
        <w:spacing w:before="240" w:after="240"/>
        <w:ind w:left="0" w:right="0" w:firstLine="0"/>
        <w:rPr>
          <w:rFonts w:ascii="Segoe UI" w:eastAsia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Strong"/>
          <w:rFonts w:ascii="Segoe UI" w:eastAsia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Q6.</w:t>
      </w:r>
      <w:r>
        <w:rPr>
          <w:rFonts w:ascii="Segoe UI" w:eastAsia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  <w:t> </w:t>
      </w:r>
      <w:r>
        <w:rPr>
          <w:rFonts w:ascii="Segoe UI" w:eastAsia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  <w:t>Can the Office of the CFO access a single, real-time consolidated view of cash positions across all the entity’s bank accounts, including those held with the Corporation for Public Deposits?</w:t>
      </w:r>
    </w:p>
    <w:p w14:paraId="57370FEF" w14:textId="77777777">
      <w:pPr>
        <w:pStyle w:val="divSection1"/>
      </w:pPr>
      <w:r>
        <w:pict>
          <v:rect id="_x0000_i1027" style="width:451.3pt;height:0.75pt" o:hrpct="1000" o:hrstd="t" o:hrnoshade="t" o:hr="t" filled="t" fillcolor="gray" stroked="f">
            <v:path strokeok="f"/>
          </v:rect>
        </w:pict>
      </w:r>
    </w:p>
    <w:p w14:paraId="2E14F177" w14:textId="77777777">
      <w:pPr>
        <w:pStyle w:val="Heading3"/>
        <w:keepNext w:val="0"/>
        <w:keepLines w:val="0"/>
        <w:widowControl/>
        <w:shd w:val="clear" w:color="auto" w:fill="FFFFFF"/>
        <w:spacing w:before="480" w:after="240" w:line="450" w:lineRule="atLeast"/>
        <w:ind w:left="0" w:right="0" w:firstLine="0"/>
        <w:rPr>
          <w:rFonts w:ascii="Segoe UI" w:eastAsia="Segoe UI" w:hAnsi="Segoe UI" w:cs="Segoe UI"/>
          <w:b/>
          <w:bCs/>
          <w:i w:val="0"/>
          <w:iCs w:val="0"/>
          <w:caps w:val="0"/>
          <w:smallCaps w:val="0"/>
          <w:color w:val="0F1115"/>
          <w:spacing w:val="0"/>
          <w:sz w:val="30"/>
          <w:szCs w:val="30"/>
        </w:rPr>
      </w:pPr>
      <w:r>
        <w:rPr>
          <w:rFonts w:ascii="Segoe UI" w:eastAsia="Segoe UI" w:hAnsi="Segoe UI" w:cs="Segoe UI"/>
          <w:iCs w:val="0"/>
          <w:caps w:val="0"/>
          <w:smallCaps w:val="0"/>
          <w:color w:val="0F1115"/>
          <w:spacing w:val="0"/>
          <w:sz w:val="30"/>
          <w:szCs w:val="30"/>
        </w:rPr>
        <w:t>Topic 4: In-Year Monitoring &amp; Early Warning Dashboards</w:t>
      </w:r>
    </w:p>
    <w:p w14:paraId="23F53525" w14:textId="77777777">
      <w:pPr>
        <w:pStyle w:val="ds-markdown-paragraph"/>
        <w:widowControl/>
        <w:shd w:val="clear" w:color="auto" w:fill="FFFFFF"/>
        <w:spacing w:before="240" w:after="240"/>
        <w:ind w:left="0" w:right="0" w:firstLine="0"/>
        <w:rPr>
          <w:rFonts w:ascii="Segoe UI" w:eastAsia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Strong"/>
          <w:rFonts w:ascii="Segoe UI" w:eastAsia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Q7.</w:t>
      </w:r>
      <w:r>
        <w:rPr>
          <w:rFonts w:ascii="Segoe UI" w:eastAsia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  <w:t> </w:t>
      </w:r>
      <w:r>
        <w:rPr>
          <w:rFonts w:ascii="Segoe UI" w:eastAsia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  <w:t>Are budget holders and programme managers automatically alerted by the system when their expenditure approaches the thresholds set for Section 40(4)(c) in-year reporting?</w:t>
      </w:r>
    </w:p>
    <w:p w14:paraId="5B8967CF" w14:textId="77777777">
      <w:pPr>
        <w:pStyle w:val="ds-markdown-paragraph"/>
        <w:widowControl/>
        <w:shd w:val="clear" w:color="auto" w:fill="FFFFFF"/>
        <w:spacing w:before="240" w:after="240"/>
        <w:ind w:left="0" w:right="0" w:firstLine="0"/>
        <w:rPr>
          <w:rFonts w:ascii="Segoe UI" w:eastAsia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Strong"/>
          <w:rFonts w:ascii="Segoe UI" w:eastAsia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Q8.</w:t>
      </w:r>
      <w:r>
        <w:rPr>
          <w:rFonts w:ascii="Segoe UI" w:eastAsia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  <w:t> </w:t>
      </w:r>
      <w:r>
        <w:rPr>
          <w:rFonts w:ascii="Segoe UI" w:eastAsia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  <w:t>Does your in-year monitoring dashboard incorporate both commitments and accruals alongside actual expenditure to reflect the true financial position?</w:t>
      </w:r>
    </w:p>
    <w:p w14:paraId="1D856C97" w14:textId="77777777">
      <w:pPr>
        <w:pStyle w:val="divSection1"/>
      </w:pPr>
      <w:r>
        <w:pict>
          <v:rect id="_x0000_i1028" style="width:451.3pt;height:0.75pt" o:hrpct="1000" o:hrstd="t" o:hrnoshade="t" o:hr="t" filled="t" fillcolor="gray" stroked="f">
            <v:path strokeok="f"/>
          </v:rect>
        </w:pict>
      </w:r>
    </w:p>
    <w:p w14:paraId="6DDBE647" w14:textId="77777777">
      <w:pPr>
        <w:pStyle w:val="Heading3"/>
        <w:keepNext w:val="0"/>
        <w:keepLines w:val="0"/>
        <w:widowControl/>
        <w:shd w:val="clear" w:color="auto" w:fill="FFFFFF"/>
        <w:spacing w:before="480" w:after="240" w:line="450" w:lineRule="atLeast"/>
        <w:ind w:left="0" w:right="0" w:firstLine="0"/>
        <w:rPr>
          <w:rFonts w:ascii="Segoe UI" w:eastAsia="Segoe UI" w:hAnsi="Segoe UI" w:cs="Segoe UI"/>
          <w:b/>
          <w:bCs/>
          <w:i w:val="0"/>
          <w:iCs w:val="0"/>
          <w:caps w:val="0"/>
          <w:smallCaps w:val="0"/>
          <w:color w:val="0F1115"/>
          <w:spacing w:val="0"/>
          <w:sz w:val="30"/>
          <w:szCs w:val="30"/>
        </w:rPr>
      </w:pPr>
      <w:r>
        <w:rPr>
          <w:rFonts w:ascii="Segoe UI" w:eastAsia="Segoe UI" w:hAnsi="Segoe UI" w:cs="Segoe UI"/>
          <w:iCs w:val="0"/>
          <w:caps w:val="0"/>
          <w:smallCaps w:val="0"/>
          <w:color w:val="0F1115"/>
          <w:spacing w:val="0"/>
          <w:sz w:val="30"/>
          <w:szCs w:val="30"/>
        </w:rPr>
        <w:t>Topic 5: Audit File Automation &amp; Digital Working Papers</w:t>
      </w:r>
    </w:p>
    <w:p w14:paraId="2D92B67C" w14:textId="77777777">
      <w:pPr>
        <w:pStyle w:val="ds-markdown-paragraph"/>
        <w:widowControl/>
        <w:shd w:val="clear" w:color="auto" w:fill="FFFFFF"/>
        <w:spacing w:before="240" w:after="240"/>
        <w:ind w:left="0" w:right="0" w:firstLine="0"/>
        <w:rPr>
          <w:rFonts w:ascii="Segoe UI" w:eastAsia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Strong"/>
          <w:rFonts w:ascii="Segoe UI" w:eastAsia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Q9.</w:t>
      </w:r>
      <w:r>
        <w:rPr>
          <w:rFonts w:ascii="Segoe UI" w:eastAsia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  <w:t> </w:t>
      </w:r>
      <w:r>
        <w:rPr>
          <w:rFonts w:ascii="Segoe UI" w:eastAsia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  <w:t>Are your Annual Financial Statements prepared using disclosure management software that pulls balances directly from the Basic Accounting System (BAS) or integrated ERP, without manual rekeying?</w:t>
      </w:r>
    </w:p>
    <w:p w14:paraId="6156F050" w14:textId="77777777">
      <w:pPr>
        <w:pStyle w:val="ds-markdown-paragraph"/>
        <w:widowControl/>
        <w:shd w:val="clear" w:color="auto" w:fill="FFFFFF"/>
        <w:spacing w:before="240" w:after="240"/>
        <w:ind w:left="0" w:right="0" w:firstLine="0"/>
        <w:rPr>
          <w:rFonts w:ascii="Segoe UI" w:eastAsia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Strong"/>
          <w:rFonts w:ascii="Segoe UI" w:eastAsia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Q10.</w:t>
      </w:r>
      <w:r>
        <w:rPr>
          <w:rFonts w:ascii="Segoe UI" w:eastAsia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  <w:t> </w:t>
      </w:r>
      <w:r>
        <w:rPr>
          <w:rFonts w:ascii="Segoe UI" w:eastAsia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  <w:t>Has your entity established a single digital repository where all audit evidence—including journal entries, supporting schedules, and source documents—is linked and readily accessible for the AGSA’s regularity audit?</w:t>
      </w:r>
    </w:p>
    <w:p w14:paraId="2DC94A83" w14:textId="77777777"/>
    <w:p w14:paraId="241445EE" w14:textId="77777777">
      <w:pPr>
        <w:spacing w:before="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B80A679" w14:textId="77777777">
      <w:pPr>
        <w:spacing w:before="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470EB52" w14:textId="77777777">
      <w:pPr>
        <w:spacing w:before="0" w:after="160"/>
      </w:pPr>
      <w:r>
        <w:rPr>
          <w:b/>
          <w:bCs/>
        </w:rPr>
        <w:t xml:space="preserve"> </w:t>
      </w:r>
    </w:p>
    <w:p w14:paraId="16AA90E9" w14:textId="77777777">
      <w:pPr>
        <w:spacing w:before="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sectPr>
      <w:headerReference w:type="default" r:id="rId4"/>
      <w:pgSz w:w="11906" w:h="16838"/>
      <w:pgMar w:top="1440" w:right="1440" w:bottom="1440" w:left="1440" w:header="708" w:footer="0"/>
      <w:pgNumType w:fmt="decimal" w:chapStyle="0" w:chapSep="hyphen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2C98034" w14:textId="77777777">
    <w:pPr>
      <w:spacing w:before="0" w:after="0" w:line="240" w:lineRule="auto"/>
      <w:jc w:val="center"/>
    </w:pPr>
    <w:r>
      <w:rPr>
        <w:strike w:val="0"/>
        <w:u w:val="none"/>
      </w:rPr>
      <w:drawing>
        <wp:anchor simplePos="0" relativeHeight="251658240" behindDoc="0" locked="0" layoutInCell="1" allowOverlap="0">
          <wp:simplePos x="0" y="0"/>
          <wp:positionH relativeFrom="column">
            <wp:posOffset>3898900</wp:posOffset>
          </wp:positionH>
          <wp:positionV relativeFrom="paragraph">
            <wp:posOffset>-335280</wp:posOffset>
          </wp:positionV>
          <wp:extent cx="1952625" cy="1552575"/>
          <wp:wrapSquare wrapText="bothSides"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952625" cy="1552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line="259" w:lineRule="auto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Calibri" w:eastAsia="Calibri" w:hAnsi="Calibri" w:cs="Calibri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Calibri" w:eastAsia="Calibri" w:hAnsi="Calibri" w:cs="Calibri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Calibri" w:eastAsia="Calibri" w:hAnsi="Calibri" w:cs="Calibri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Calibri" w:eastAsia="Calibri" w:hAnsi="Calibri" w:cs="Calibri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Calibri" w:eastAsia="Calibri" w:hAnsi="Calibri" w:cs="Calibri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Calibri" w:eastAsia="Calibri" w:hAnsi="Calibri" w:cs="Calibri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divSection1">
    <w:name w:val="div_Section_1"/>
    <w:basedOn w:val="Normal"/>
  </w:style>
  <w:style w:type="character" w:styleId="Strong">
    <w:name w:val="Strong"/>
    <w:basedOn w:val="DefaultParagraphFont"/>
    <w:uiPriority w:val="22"/>
    <w:qFormat/>
    <w:rsid w:val="00506D7A"/>
    <w:rPr>
      <w:b/>
      <w:bCs/>
    </w:rPr>
  </w:style>
  <w:style w:type="paragraph" w:customStyle="1" w:styleId="ds-markdown-paragraph">
    <w:name w:val="ds-markdown-paragraph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