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b/>
          <w:bCs/>
          <w:color w:val="F96806"/>
          <w:sz w:val="20"/>
          <w:szCs w:val="20"/>
        </w:rPr>
        <w:t xml:space="preserve">CASE STUDY  ·  SHOWCASE EDITION</w:t>
      </w:r>
    </w:p>
    <w:p>
      <w:pPr>
        <w:spacing w:before="200"/>
      </w:pPr>
      <w:r>
        <w:rPr>
          <w:rFonts w:ascii="Arial" w:cs="Arial" w:eastAsia="Arial" w:hAnsi="Arial"/>
          <w:color w:val="5B6577"/>
          <w:sz w:val="28"/>
          <w:szCs w:val="28"/>
        </w:rPr>
        <w:t xml:space="preserve">Legacy SAS → CDP Migration</w:t>
      </w:r>
    </w:p>
    <w:p>
      <w:pPr>
        <w:spacing w:before="120"/>
      </w:pPr>
      <w:r>
        <w:rPr>
          <w:rFonts w:ascii="Arial" w:cs="Arial" w:eastAsia="Arial" w:hAnsi="Arial"/>
          <w:b/>
          <w:bCs/>
          <w:color w:val="F96806"/>
          <w:sz w:val="26"/>
          <w:szCs w:val="26"/>
        </w:rPr>
        <w:t xml:space="preserve">Volume 2</w:t>
      </w:r>
    </w:p>
    <w:p>
      <w:pPr>
        <w:spacing w:after="200" w:before="120"/>
      </w:pPr>
      <w:r>
        <w:rPr>
          <w:rFonts w:ascii="Arial" w:cs="Arial" w:eastAsia="Arial" w:hAnsi="Arial"/>
          <w:b/>
          <w:bCs/>
          <w:color w:val="1A288E"/>
          <w:sz w:val="52"/>
          <w:szCs w:val="52"/>
        </w:rPr>
        <w:t xml:space="preserve">Diagnosis &amp; Remediation</w:t>
      </w:r>
    </w:p>
    <w:p>
      <w:pPr>
        <w:spacing w:after="600"/>
      </w:pPr>
      <w:r>
        <w:rPr>
          <w:rFonts w:ascii="Arial" w:cs="Arial" w:eastAsia="Arial" w:hAnsi="Arial"/>
          <w:color w:val="5B6577"/>
          <w:sz w:val="24"/>
          <w:szCs w:val="24"/>
        </w:rPr>
        <w:t xml:space="preserve">The diagnostic method, the full defect register and how the pipeline reached 475 of 475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WHAT THIS VOLUME COVERS</w:t>
            </w:r>
          </w:p>
          <w:p>
            <w:pPr>
              <w:spacing w:line="290"/>
            </w:pPr>
            <w:r>
              <w:rPr>
                <w:rFonts w:ascii="Arial" w:cs="Arial" w:eastAsia="Arial" w:hAnsi="Arial"/>
                <w:color w:val="1A288E"/>
                <w:sz w:val="20"/>
                <w:szCs w:val="20"/>
              </w:rPr>
              <w:t xml:space="preserve">The derivation path used for every defect, a fault taxonomy, a fourteen-entry defect register with root cause, fix, verification and effect, the bridge-file specifications, the population progression from 344 to 475, and the change-control practices introduced along the way.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ABOUT THIS DOCUMENT</w:t>
            </w:r>
          </w:p>
          <w:p>
            <w:pPr>
              <w:spacing w:line="290"/>
            </w:pPr>
            <w:r>
              <w:rPr>
                <w:rFonts w:ascii="Arial" w:cs="Arial" w:eastAsia="Arial" w:hAnsi="Arial"/>
                <w:color w:val="1A288E"/>
                <w:sz w:val="20"/>
                <w:szCs w:val="20"/>
              </w:rPr>
              <w:t xml:space="preserve">"Meridian Media" is a hypothetical organisation. All client names, data values, file names and code identifiers have been anonymised or generalised to protect client identity and intellectual property. Figures are illustrative and rounded; the method and sequence of work are described as executed.</w:t>
            </w:r>
          </w:p>
        </w:tc>
      </w:tr>
    </w:tbl>
    <w:p>
      <w:pPr>
        <w:spacing w:after="120"/>
      </w:pPr>
    </w:p>
    <w:p>
      <w:pPr>
        <w:spacing w:before="400"/>
      </w:pPr>
      <w:r>
        <w:rPr>
          <w:rFonts w:ascii="Arial" w:cs="Arial" w:eastAsia="Arial" w:hAnsi="Arial"/>
          <w:color w:val="5B6577"/>
          <w:sz w:val="18"/>
          <w:szCs w:val="18"/>
        </w:rPr>
        <w:t xml:space="preserve">Client Analytics  ·  Project Documentation Set (3 volumes)</w:t>
      </w:r>
    </w:p>
    <w:p>
      <w:r>
        <w:br w:type="page"/>
      </w:r>
    </w:p>
    <w:p>
      <w:r>
        <w:rPr>
          <w:rFonts w:ascii="Arial" w:cs="Arial" w:eastAsia="Arial" w:hAnsi="Arial"/>
          <w:b/>
          <w:bCs/>
          <w:color w:val="1A288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Diagnostic Method</w:t>
      </w:r>
    </w:p>
    <w:p>
      <w:pPr>
        <w:spacing w:after="140" w:line="300"/>
      </w:pPr>
      <w:r>
        <w:rPr>
          <w:rFonts w:ascii="Arial" w:cs="Arial" w:eastAsia="Arial" w:hAnsi="Arial"/>
        </w:rPr>
        <w:t xml:space="preserve">Variables that fail silently cannot be fixed by reading code. Every defect in this engagement was taken through the same derivation path, and no code was changed until the path had produced evidence.</w:t>
      </w:r>
    </w:p>
    <w:p>
      <w:pPr>
        <w:pStyle w:val="Heading2"/>
      </w:pPr>
      <w:r>
        <w:rPr>
          <w:rFonts w:ascii="Arial" w:cs="Arial" w:eastAsia="Arial" w:hAnsi="Arial"/>
        </w:rPr>
        <w:t xml:space="preserve">1.1 The derivation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tblHeader/>
        </w:trPr>
        <w:tc>
          <w:tcPr>
            <w:tcW w:type="dxa" w:w="23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Step</w:t>
            </w:r>
          </w:p>
        </w:tc>
        <w:tc>
          <w:tcPr>
            <w:tcW w:type="dxa" w:w="3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Question</w:t>
            </w:r>
          </w:p>
        </w:tc>
        <w:tc>
          <w:tcPr>
            <w:tcW w:type="dxa" w:w="37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Evidence used</w:t>
            </w:r>
          </w:p>
        </w:tc>
      </w:tr>
      <w:tr>
        <w:tc>
          <w:tcPr>
            <w:tcW w:type="dxa" w:w="23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 Symptom reported</w:t>
            </w:r>
          </w:p>
        </w:tc>
        <w:tc>
          <w:tcPr>
            <w:tcW w:type="dxa" w:w="3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What does the client or QC see?</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Match-rate report; population census</w:t>
            </w:r>
          </w:p>
        </w:tc>
      </w:tr>
      <w:tr>
        <w:tc>
          <w:tcPr>
            <w:tcW w:type="dxa" w:w="23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2. Classify the fault</w:t>
            </w:r>
          </w:p>
        </w:tc>
        <w:tc>
          <w:tcPr>
            <w:tcW w:type="dxa" w:w="3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Absent, zero-filled or understated?</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Log scan; value distribution</w:t>
            </w:r>
          </w:p>
        </w:tc>
      </w:tr>
      <w:tr>
        <w:tc>
          <w:tcPr>
            <w:tcW w:type="dxa" w:w="23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3. Read the emitted SQL</w:t>
            </w:r>
          </w:p>
        </w:tc>
        <w:tc>
          <w:tcPr>
            <w:tcW w:type="dxa" w:w="3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What did the engine actually send?</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Run log; macro trace</w:t>
            </w:r>
          </w:p>
        </w:tc>
      </w:tr>
      <w:tr>
        <w:tc>
          <w:tcPr>
            <w:tcW w:type="dxa" w:w="23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4. Profile the source</w:t>
            </w:r>
          </w:p>
        </w:tc>
        <w:tc>
          <w:tcPr>
            <w:tcW w:type="dxa" w:w="3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Is the column populated? Do keys share a domain? Do filter values exist?</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Read-only probe against the CDP</w:t>
            </w:r>
          </w:p>
        </w:tc>
      </w:tr>
      <w:tr>
        <w:tc>
          <w:tcPr>
            <w:tcW w:type="dxa" w:w="23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5. Branch</w:t>
            </w:r>
          </w:p>
        </w:tc>
        <w:tc>
          <w:tcPr>
            <w:tcW w:type="dxa" w:w="3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Does the source hold the data?</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Steps 3–4</w:t>
            </w:r>
          </w:p>
        </w:tc>
      </w:tr>
    </w:tbl>
    <w:p>
      <w:pPr>
        <w:spacing w:after="120"/>
      </w:pPr>
    </w:p>
    <w:p>
      <w:pPr>
        <w:pStyle w:val="Heading2"/>
      </w:pPr>
      <w:r>
        <w:rPr>
          <w:rFonts w:ascii="Arial" w:cs="Arial" w:eastAsia="Arial" w:hAnsi="Arial"/>
        </w:rPr>
        <w:t xml:space="preserve">1.2 The branch after step 4</w:t>
      </w:r>
    </w:p>
    <w:p>
      <w:pPr>
        <w:pStyle w:val="ListParagraph"/>
        <w:numPr>
          <w:ilvl w:val="0"/>
          <w:numId w:val="2"/>
        </w:numPr>
        <w:spacing w:after="70" w:line="290"/>
      </w:pPr>
      <w:r>
        <w:rPr>
          <w:rFonts w:ascii="Arial" w:cs="Arial" w:eastAsia="Arial" w:hAnsi="Arial"/>
          <w:b/>
          <w:bCs/>
        </w:rPr>
        <w:t xml:space="preserve">Source has the data → code fix.</w:t>
      </w:r>
      <w:r>
        <w:rPr>
          <w:rFonts w:ascii="Arial" w:cs="Arial" w:eastAsia="Arial" w:hAnsi="Arial"/>
        </w:rPr>
        <w:t xml:space="preserve"> Correct the shared generator, never the individual variable. Re-run on the test harness, confirm by value, then promote.</w:t>
      </w:r>
    </w:p>
    <w:p>
      <w:pPr>
        <w:pStyle w:val="ListParagraph"/>
        <w:numPr>
          <w:ilvl w:val="0"/>
          <w:numId w:val="2"/>
        </w:numPr>
        <w:spacing w:after="70" w:line="290"/>
      </w:pPr>
      <w:r>
        <w:rPr>
          <w:rFonts w:ascii="Arial" w:cs="Arial" w:eastAsia="Arial" w:hAnsi="Arial"/>
          <w:b/>
          <w:bCs/>
        </w:rPr>
        <w:t xml:space="preserve">Source does not hold it in the expected form → data escalation.</w:t>
      </w:r>
      <w:r>
        <w:rPr>
          <w:rFonts w:ascii="Arial" w:cs="Arial" w:eastAsia="Arial" w:hAnsi="Arial"/>
        </w:rPr>
        <w:t xml:space="preserve"> Evidence the gap at source, confirm the variable populates in legacy, and take it to the business or platform team with a proposed rule or mapping and an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PRINCIPLE</w:t>
            </w:r>
          </w:p>
          <w:p>
            <w:pPr>
              <w:spacing w:line="290"/>
            </w:pPr>
            <w:r>
              <w:rPr>
                <w:rFonts w:ascii="Arial" w:cs="Arial" w:eastAsia="Arial" w:hAnsi="Arial"/>
                <w:color w:val="1A288E"/>
                <w:sz w:val="20"/>
                <w:szCs w:val="20"/>
              </w:rPr>
              <w:t xml:space="preserve">Profile the source before changing the code. In this engagement, three proposed rebuilds — a lookup table, a parse rule and a key change — were replaced by one-line corrections because profiling showed each fault sat upstream of the logic.</w:t>
            </w:r>
          </w:p>
        </w:tc>
      </w:tr>
    </w:tbl>
    <w:p>
      <w:pPr>
        <w:spacing w:after="120"/>
      </w:pPr>
    </w:p>
    <w:p>
      <w:pPr>
        <w:pStyle w:val="Heading2"/>
      </w:pPr>
      <w:r>
        <w:rPr>
          <w:rFonts w:ascii="Arial" w:cs="Arial" w:eastAsia="Arial" w:hAnsi="Arial"/>
        </w:rPr>
        <w:t xml:space="preserve">1.3 Read-only probes</w:t>
      </w:r>
    </w:p>
    <w:p>
      <w:pPr>
        <w:spacing w:after="140" w:line="300"/>
      </w:pPr>
      <w:r>
        <w:rPr>
          <w:rFonts w:ascii="Arial" w:cs="Arial" w:eastAsia="Arial" w:hAnsi="Arial"/>
        </w:rPr>
        <w:t xml:space="preserve">Every hypothesis was expressed as a SELECT-only probe. Typical probes:</w:t>
      </w:r>
    </w:p>
    <w:p>
      <w:pPr>
        <w:pStyle w:val="ListParagraph"/>
        <w:numPr>
          <w:ilvl w:val="0"/>
          <w:numId w:val="2"/>
        </w:numPr>
        <w:spacing w:after="70" w:line="290"/>
      </w:pPr>
      <w:r>
        <w:rPr>
          <w:rFonts w:ascii="Arial" w:cs="Arial" w:eastAsia="Arial" w:hAnsi="Arial"/>
          <w:b/>
          <w:bCs/>
        </w:rPr>
        <w:t xml:space="preserve">Column profile</w:t>
      </w:r>
      <w:r>
        <w:rPr>
          <w:rFonts w:ascii="Arial" w:cs="Arial" w:eastAsia="Arial" w:hAnsi="Arial"/>
        </w:rPr>
        <w:t xml:space="preserve"> — row count, NULL count and distinct count for a candidate column.</w:t>
      </w:r>
    </w:p>
    <w:p>
      <w:pPr>
        <w:pStyle w:val="ListParagraph"/>
        <w:numPr>
          <w:ilvl w:val="0"/>
          <w:numId w:val="2"/>
        </w:numPr>
        <w:spacing w:after="70" w:line="290"/>
      </w:pPr>
      <w:r>
        <w:rPr>
          <w:rFonts w:ascii="Arial" w:cs="Arial" w:eastAsia="Arial" w:hAnsi="Arial"/>
          <w:b/>
          <w:bCs/>
        </w:rPr>
        <w:t xml:space="preserve">Predicate comparison</w:t>
      </w:r>
      <w:r>
        <w:rPr>
          <w:rFonts w:ascii="Arial" w:cs="Arial" w:eastAsia="Arial" w:hAnsi="Arial"/>
        </w:rPr>
        <w:t xml:space="preserve"> — the same aggregate computed with the emitted predicate and with the corrected one; the difference sizes the defect.</w:t>
      </w:r>
    </w:p>
    <w:p>
      <w:pPr>
        <w:pStyle w:val="ListParagraph"/>
        <w:numPr>
          <w:ilvl w:val="0"/>
          <w:numId w:val="2"/>
        </w:numPr>
        <w:spacing w:after="70" w:line="290"/>
      </w:pPr>
      <w:r>
        <w:rPr>
          <w:rFonts w:ascii="Arial" w:cs="Arial" w:eastAsia="Arial" w:hAnsi="Arial"/>
          <w:b/>
          <w:bCs/>
        </w:rPr>
        <w:t xml:space="preserve">Key overlap</w:t>
      </w:r>
      <w:r>
        <w:rPr>
          <w:rFonts w:ascii="Arial" w:cs="Arial" w:eastAsia="Arial" w:hAnsi="Arial"/>
        </w:rPr>
        <w:t xml:space="preserve"> — the share of values two candidate keys have in common.</w:t>
      </w:r>
    </w:p>
    <w:p>
      <w:pPr>
        <w:pStyle w:val="ListParagraph"/>
        <w:numPr>
          <w:ilvl w:val="0"/>
          <w:numId w:val="2"/>
        </w:numPr>
        <w:spacing w:after="70" w:line="290"/>
      </w:pPr>
      <w:r>
        <w:rPr>
          <w:rFonts w:ascii="Arial" w:cs="Arial" w:eastAsia="Arial" w:hAnsi="Arial"/>
          <w:b/>
          <w:bCs/>
        </w:rPr>
        <w:t xml:space="preserve">Route comparison</w:t>
      </w:r>
      <w:r>
        <w:rPr>
          <w:rFonts w:ascii="Arial" w:cs="Arial" w:eastAsia="Arial" w:hAnsi="Arial"/>
        </w:rPr>
        <w:t xml:space="preserve"> — the result of alternative join paths for the same business concept.</w:t>
      </w:r>
    </w:p>
    <w:p>
      <w:pPr>
        <w:pStyle w:val="Heading1"/>
        <w:pageBreakBefore/>
      </w:pPr>
      <w:r>
        <w:rPr>
          <w:rFonts w:ascii="Arial" w:cs="Arial" w:eastAsia="Arial" w:hAnsi="Arial"/>
        </w:rPr>
        <w:t xml:space="preserve">2. Fault Taxonomy</w:t>
      </w:r>
    </w:p>
    <w:p>
      <w:pPr>
        <w:spacing w:after="140" w:line="300"/>
      </w:pPr>
      <w:r>
        <w:rPr>
          <w:rFonts w:ascii="Arial" w:cs="Arial" w:eastAsia="Arial" w:hAnsi="Arial"/>
        </w:rPr>
        <w:t xml:space="preserve">Three faults were repeatedly reported in the same words — "the variable isn't right" — and needed different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900"/>
        <w:gridCol w:w="2438"/>
      </w:tblGrid>
      <w:tr>
        <w:trPr>
          <w:tblHeader/>
        </w:trPr>
        <w:tc>
          <w:tcPr>
            <w:tcW w:type="dxa" w:w="1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Class</w:t>
            </w:r>
          </w:p>
        </w:tc>
        <w:tc>
          <w:tcPr>
            <w:tcW w:type="dxa" w:w="27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Definition</w:t>
            </w:r>
          </w:p>
        </w:tc>
        <w:tc>
          <w:tcPr>
            <w:tcW w:type="dxa" w:w="29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Where to look</w:t>
            </w:r>
          </w:p>
        </w:tc>
        <w:tc>
          <w:tcPr>
            <w:tcW w:type="dxa" w:w="2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Example here</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Absent</w:t>
            </w:r>
          </w:p>
        </w:tc>
        <w:tc>
          <w:tcPr>
            <w:tcW w:type="dxa" w:w="2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variable never built; the column is missing from output</w:t>
            </w:r>
          </w:p>
        </w:tc>
        <w:tc>
          <w:tcPr>
            <w:tcW w:type="dxa" w:w="2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run log: the query failed and the cascade dropped the column</w:t>
            </w:r>
          </w:p>
        </w:tc>
        <w:tc>
          <w:tcPr>
            <w:tcW w:type="dxa" w:w="2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13 interest variables (D03)</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Zero-filled</w:t>
            </w:r>
          </w:p>
        </w:tc>
        <w:tc>
          <w:tcPr>
            <w:tcW w:type="dxa" w:w="2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Built, but matched nothing</w:t>
            </w:r>
          </w:p>
        </w:tc>
        <w:tc>
          <w:tcPr>
            <w:tcW w:type="dxa" w:w="2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Source profile: the join or filter cannot match</w:t>
            </w:r>
          </w:p>
        </w:tc>
        <w:tc>
          <w:tcPr>
            <w:tcW w:type="dxa" w:w="2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27 affinity variables (D05)</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Understated</w:t>
            </w:r>
          </w:p>
        </w:tc>
        <w:tc>
          <w:tcPr>
            <w:tcW w:type="dxa" w:w="2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Built and matched, but rows were silently excluded</w:t>
            </w:r>
          </w:p>
        </w:tc>
        <w:tc>
          <w:tcPr>
            <w:tcW w:type="dxa" w:w="2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Value comparison against source or legacy</w:t>
            </w:r>
          </w:p>
        </w:tc>
        <w:tc>
          <w:tcPr>
            <w:tcW w:type="dxa" w:w="2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Magazine revenue (D03)</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Environmental</w:t>
            </w:r>
          </w:p>
        </w:tc>
        <w:tc>
          <w:tcPr>
            <w:tcW w:type="dxa" w:w="27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Logic correct; run state or deployment wrong</w:t>
            </w:r>
          </w:p>
        </w:tc>
        <w:tc>
          <w:tcPr>
            <w:tcW w:type="dxa" w:w="29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Run state, redirected log, file integrity</w:t>
            </w:r>
          </w:p>
        </w:tc>
        <w:tc>
          <w:tcPr>
            <w:tcW w:type="dxa" w:w="2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D08, D09, D10</w:t>
            </w:r>
          </w:p>
        </w:tc>
      </w:tr>
    </w:tbl>
    <w:p>
      <w:pPr>
        <w:spacing w:after="120"/>
      </w:pPr>
    </w:p>
    <w:p>
      <w:pPr>
        <w:pStyle w:val="Heading1"/>
        <w:pageBreakBefore/>
      </w:pPr>
      <w:r>
        <w:rPr>
          <w:rFonts w:ascii="Arial" w:cs="Arial" w:eastAsia="Arial" w:hAnsi="Arial"/>
        </w:rPr>
        <w:t xml:space="preserve">3. Defect Register</w:t>
      </w:r>
    </w:p>
    <w:p>
      <w:pPr>
        <w:spacing w:after="140" w:line="300"/>
      </w:pPr>
      <w:r>
        <w:rPr>
          <w:rFonts w:ascii="Arial" w:cs="Arial" w:eastAsia="Arial" w:hAnsi="Arial"/>
        </w:rPr>
        <w:t xml:space="preserve">Fourteen defects were recorded. Identifiers, column names and values are generalised in this edition.</w:t>
      </w:r>
    </w:p>
    <w:p>
      <w:pPr>
        <w:pStyle w:val="Heading2"/>
      </w:pPr>
      <w:r>
        <w:rPr>
          <w:rFonts w:ascii="Arial" w:cs="Arial" w:eastAsia="Arial" w:hAnsi="Arial"/>
        </w:rPr>
        <w:t xml:space="preserve">D01 — Unresolved legacy column 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Absent (cascade)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First CDP run produced ~5,000 errors; 131 of 475 variables missing.</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Emitted SQL contained legacy column names that do not exist on the CDP core objects.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CDP renamed and re-typed core columns. Recipes reference names directly.</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Per-table column mapper in a new bridge file; unknown names pass through unchanged. Join builders overridden so both sides resolve through the mapper.</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compat_bridge.sas (new)</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Emitted SQL inspected for every builder; no unresolved names remained.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Naming errors removed. The error count stayed high because each failing query also produced a cascade (see D03).</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WHY ~5,000 ERRORS</w:t>
            </w:r>
          </w:p>
          <w:p>
            <w:pPr>
              <w:spacing w:line="290"/>
            </w:pPr>
            <w:r>
              <w:rPr>
                <w:rFonts w:ascii="Arial" w:cs="Arial" w:eastAsia="Arial" w:hAnsi="Arial"/>
                <w:color w:val="1A288E"/>
                <w:sz w:val="20"/>
                <w:szCs w:val="20"/>
              </w:rPr>
              <w:t xml:space="preserve">Every failing variable query produced four to five follow-on errors — staging table missing, merge failed, rename failed. The headline count therefore overstated the number of distinct defects by roughly five times.</w:t>
            </w:r>
          </w:p>
        </w:tc>
      </w:tr>
    </w:tbl>
    <w:p>
      <w:pPr>
        <w:spacing w:after="120"/>
      </w:pPr>
    </w:p>
    <w:p>
      <w:pPr>
        <w:pStyle w:val="Heading2"/>
      </w:pPr>
      <w:r>
        <w:rPr>
          <w:rFonts w:ascii="Arial" w:cs="Arial" w:eastAsia="Arial" w:hAnsi="Arial"/>
        </w:rPr>
        <w:t xml:space="preserve">D02 — Incorrect key rewrite on marketing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Absent</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About 79 promotion-history variables missing.</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Log showed queries referencing a customer-key column that the marketing-activity view does not carry.</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An early mapping rewrote the customer key to a 'current key' column assumed to exist on every view.</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Rewrite removed for that view; the view's native key used.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compat_bridge.sas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Column profile of the view; harness re-run.</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+79 variables (344 → 423).</w:t>
            </w:r>
          </w:p>
        </w:tc>
      </w:tr>
    </w:tbl>
    <w:p>
      <w:pPr>
        <w:spacing w:after="120"/>
      </w:pPr>
    </w:p>
    <w:p>
      <w:pPr>
        <w:pStyle w:val="Heading2"/>
      </w:pPr>
      <w:r>
        <w:rPr>
          <w:rFonts w:ascii="Arial" w:cs="Arial" w:eastAsia="Arial" w:hAnsi="Arial"/>
        </w:rPr>
        <w:t xml:space="preserve">D03 — NULL-dropping exclusion filters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Understated, then Absent</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Magazine revenue ~35% below legacy on a sampled audience; later, 13 interest variables missing.</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Predicate comparison: revenue summed with the emitted ≠ filter versus a NULL-retaining filter.</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Under ANSI three-valued logic, NULL ≠ 'X' is UNKNOWN, so rows with a NULL filter column are dropped. On Oracle these columns were always populated; on the CDP many were NULL.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Exclusion branch in all three builders changed to (col IS NULL OR col ≠ val). An interim fix using coalesce(col,'') worked on text columns but failed on numeric ones, removing 13 variables until replaced.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sql_engine.sas — exclusion branch, three builders, six lines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Harness run: type-failure cascade cleared; ~35% of sampled revenue restored; 280 sampled customers exceeded the value the old predicate could return.</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Errors ~5,000 → 3. +13 variables (423 → 436). Values corrected across 118 variables.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NOTE</w:t>
            </w:r>
          </w:p>
          <w:p>
            <w:pPr>
              <w:spacing w:line="290"/>
            </w:pPr>
            <w:r>
              <w:rPr>
                <w:rFonts w:ascii="Arial" w:cs="Arial" w:eastAsia="Arial" w:hAnsi="Arial"/>
                <w:color w:val="1A288E"/>
                <w:sz w:val="20"/>
                <w:szCs w:val="20"/>
              </w:rPr>
              <w:t xml:space="preserve">The three residual errors were workspace-disk exhaustion, not logic. They were cleared operationally.</w:t>
            </w:r>
          </w:p>
        </w:tc>
      </w:tr>
    </w:tbl>
    <w:p>
      <w:pPr>
        <w:spacing w:after="120"/>
      </w:pPr>
    </w:p>
    <w:p>
      <w:pPr>
        <w:pStyle w:val="Heading2"/>
      </w:pPr>
      <w:r>
        <w:rPr>
          <w:rFonts w:ascii="Arial" w:cs="Arial" w:eastAsia="Arial" w:hAnsi="Arial"/>
        </w:rPr>
        <w:t xml:space="preserve">D04 — Email-tenure date from the wrong 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Understated (wrong values)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Tenure date present, but every value recent.</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Distribution of the source field: values clustered on a handful of migration-load dates.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advised CDP field records when a record was loaded, not when the address was captured.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Purpose-built recipe: coalesce(original created date, platform load timestamp). Output converted to calendar date.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compat_bridge.sas (dedicated recipe)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Year-by-year distribution; legacy dates restored back a decade.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+1 variable (436 → 437). ~50% fill on the full audience, consistent with legacy.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GOVERNANCE</w:t>
            </w:r>
          </w:p>
          <w:p>
            <w:pPr>
              <w:spacing w:line="290"/>
            </w:pPr>
            <w:r>
              <w:rPr>
                <w:rFonts w:ascii="Arial" w:cs="Arial" w:eastAsia="Arial" w:hAnsi="Arial"/>
                <w:color w:val="1A288E"/>
                <w:sz w:val="20"/>
                <w:szCs w:val="20"/>
              </w:rPr>
              <w:t xml:space="preserve">Agreed with the platform build team and the client's modelling lead before implementation (Volume 3, decision register).</w:t>
            </w:r>
          </w:p>
        </w:tc>
      </w:tr>
    </w:tbl>
    <w:p>
      <w:pPr>
        <w:spacing w:after="120"/>
      </w:pPr>
    </w:p>
    <w:p>
      <w:pPr>
        <w:pStyle w:val="Heading2"/>
      </w:pPr>
      <w:r>
        <w:rPr>
          <w:rFonts w:ascii="Arial" w:cs="Arial" w:eastAsia="Arial" w:hAnsi="Arial"/>
        </w:rPr>
        <w:t xml:space="preserve">D05 — Product mapping pointed at an empty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Zero-filled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27 affinity (content-class) variables zero for every customer.</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Column profile: the mapped product-code column held NULL on every row — zero distinct values.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mapper pointed at a column that migrated empty. A differently named product-code column was fully populated.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One mapping line changed.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compat_bridge.sas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Join match count: zero before, billions after. Harness census.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+27 variables (437 → 464).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TWO FIRST ANSWERS THAT DID NOT SURVIVE</w:t>
            </w:r>
          </w:p>
          <w:p>
            <w:pPr>
              <w:spacing w:line="290"/>
            </w:pPr>
            <w:r>
              <w:rPr>
                <w:rFonts w:ascii="Arial" w:cs="Arial" w:eastAsia="Arial" w:hAnsi="Arial"/>
                <w:color w:val="1A288E"/>
                <w:sz w:val="20"/>
                <w:szCs w:val="20"/>
              </w:rPr>
              <w:t xml:space="preserve">The first explanation was ambiguity — one product code spanning titles with different content classes — and the proposed remedy was a title-level lookup and parse rule. A second proposal to switch the title key would have broken 25 working variables; testing showed zero matches against tens of millions for the existing key. Both were stopped by profiling.</w:t>
            </w:r>
          </w:p>
        </w:tc>
      </w:tr>
    </w:tbl>
    <w:p>
      <w:pPr>
        <w:spacing w:after="120"/>
      </w:pPr>
    </w:p>
    <w:p>
      <w:pPr>
        <w:pStyle w:val="Heading2"/>
      </w:pPr>
      <w:r>
        <w:rPr>
          <w:rFonts w:ascii="Arial" w:cs="Arial" w:eastAsia="Arial" w:hAnsi="Arial"/>
        </w:rPr>
        <w:t xml:space="preserve">D06 — Date-type semantics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Understated (wrong values)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 days-since-shipment variable carried the build date itself.</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Spotted by the client in output; confirmed by inspecting returned column types.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Offset arithmetic extracts the date part of a DATETIME. Some CDP columns return DATE, so the conversion produced a wrong offset without error.</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Type detection at run time; guarded conversion — date-part extraction only where valid.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date_bridge.sas (new)</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Recency family compared against legacy after normalisation.</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All date variables carry a consistent, verifiable offset.</w:t>
            </w:r>
          </w:p>
        </w:tc>
      </w:tr>
    </w:tbl>
    <w:p>
      <w:pPr>
        <w:spacing w:after="120"/>
      </w:pPr>
    </w:p>
    <w:p>
      <w:pPr>
        <w:pStyle w:val="Heading2"/>
      </w:pPr>
      <w:r>
        <w:rPr>
          <w:rFonts w:ascii="Arial" w:cs="Arial" w:eastAsia="Arial" w:hAnsi="Arial"/>
        </w:rPr>
        <w:t xml:space="preserve">D07 — Key-domain mismatch in a new recipe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Environmental / logic</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Output rows ~50% above the requested audience.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Row-count check; the appended rows carried only the new variable.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recipe grouped on the platform's profile key but labelled it as the customer key. The two keys share no values, so the merge appended instead of joining.</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Join on the platform key; select and group on the customer key.</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compat_bridge.sas (dedicated recipe)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Row count equals audience exactly.</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Output integrity restored.</w:t>
            </w:r>
          </w:p>
        </w:tc>
      </w:tr>
    </w:tbl>
    <w:p>
      <w:pPr>
        <w:spacing w:after="120"/>
      </w:pPr>
    </w:p>
    <w:p>
      <w:pPr>
        <w:pStyle w:val="Heading2"/>
      </w:pPr>
      <w:r>
        <w:rPr>
          <w:rFonts w:ascii="Arial" w:cs="Arial" w:eastAsia="Arial" w:hAnsi="Arial"/>
        </w:rPr>
        <w:t xml:space="preserve">D08 — Leftover staging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Environmental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Run completed 'successfully' with zero rows.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redirected run log showed the audience CREATE had failed.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An aborted run left its permanent audience table in the shared schema; the drop runs only on clean completion.</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Existence guard drops any stale table before rebuild.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orchestrator.sas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Deliberately aborted run followed by a clean run.</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Silent empty runs eliminated.</w:t>
            </w:r>
          </w:p>
        </w:tc>
      </w:tr>
    </w:tbl>
    <w:p>
      <w:pPr>
        <w:spacing w:after="120"/>
      </w:pPr>
    </w:p>
    <w:p>
      <w:pPr>
        <w:pStyle w:val="Heading2"/>
      </w:pPr>
      <w:r>
        <w:rPr>
          <w:rFonts w:ascii="Arial" w:cs="Arial" w:eastAsia="Arial" w:hAnsi="Arial"/>
        </w:rPr>
        <w:t xml:space="preserve">D09 — Bridge file overwritten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Environmental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Thousands of 'macro not resolved' warnings; hundreds of variables lost.</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Fresh-session check: bridge macros did not exist.</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 one-macro patch was saved over the full bridge file.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File restored from source; change control introduced (section 6).</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Process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Fresh-session compile check returns every expected macro.</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Recurrence prevented.</w:t>
            </w:r>
          </w:p>
        </w:tc>
      </w:tr>
    </w:tbl>
    <w:p>
      <w:pPr>
        <w:spacing w:after="120"/>
      </w:pPr>
    </w:p>
    <w:p>
      <w:pPr>
        <w:pStyle w:val="Heading2"/>
      </w:pPr>
      <w:r>
        <w:rPr>
          <w:rFonts w:ascii="Arial" w:cs="Arial" w:eastAsia="Arial" w:hAnsi="Arial"/>
        </w:rPr>
        <w:t xml:space="preserve">D10 — Unseen reference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Environmental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Run stopped before building any variable.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Integrity-check message in the redirected log naming the unknown code.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 new product code was loaded to the CDP after go-live.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Code placed in a neutral group read by no variable; moved to its family once the client confirmed it.</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definitions.sas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Integrity check passes; no variable counts change.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Runs unblocked without silently altering counts.</w:t>
            </w:r>
          </w:p>
        </w:tc>
      </w:tr>
    </w:tbl>
    <w:p>
      <w:pPr>
        <w:spacing w:after="120"/>
      </w:pPr>
    </w:p>
    <w:p>
      <w:pPr>
        <w:pStyle w:val="Heading2"/>
      </w:pPr>
      <w:r>
        <w:rPr>
          <w:rFonts w:ascii="Arial" w:cs="Arial" w:eastAsia="Arial" w:hAnsi="Arial"/>
        </w:rPr>
        <w:t xml:space="preserve">D11 — Not-equal filters in sign slots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Zero-filled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last non-web channel variable remained zero.</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Channel-code breakdown: the code was blank on &gt;99.9% of paid non-web orders.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D03 fix covered the exclusion slots only. The same bare not-equal lived in the sign slots, dropping every blank-channel row.</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NULL-safe not-equal applied in the sign-slot branch of all three builders, covering every not-equal spelling. Operator literals quoted so the macro language does not parse them as operators.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sql_engine.sas — sign-slot branch, three builders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Harness run of the affected variables; emitted SQL shows (col IS NULL OR col NE val).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+1 variable (part of 469 → 475). Client confirmed blank channel = non-web.</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THE FIX THAT NEEDED A FIX</w:t>
            </w:r>
          </w:p>
          <w:p>
            <w:pPr>
              <w:spacing w:line="290"/>
            </w:pPr>
            <w:r>
              <w:rPr>
                <w:rFonts w:ascii="Arial" w:cs="Arial" w:eastAsia="Arial" w:hAnsi="Arial"/>
                <w:color w:val="1A288E"/>
                <w:sz w:val="20"/>
                <w:szCs w:val="20"/>
              </w:rPr>
              <w:t xml:space="preserve">The first version of this fix used a bare operator word inside a macro condition, where it was parsed as an operator. It was caught on the harness before release.</w:t>
            </w:r>
          </w:p>
        </w:tc>
      </w:tr>
    </w:tbl>
    <w:p>
      <w:pPr>
        <w:spacing w:after="120"/>
      </w:pPr>
    </w:p>
    <w:p>
      <w:pPr>
        <w:pStyle w:val="Heading2"/>
      </w:pPr>
      <w:r>
        <w:rPr>
          <w:rFonts w:ascii="Arial" w:cs="Arial" w:eastAsia="Arial" w:hAnsi="Arial"/>
        </w:rPr>
        <w:t xml:space="preserve">D12 — Retired product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Zero-filled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Two title-promotion variables zero for every customer.</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Only ~10% of that title family's identifiers survived in the CDP cross-reference.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Recipes filter on hard-coded legacy identifiers that were retired in migration.</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Client supplied current identifiers; a legacy→current lookup was added to the bridge so recipe text stayed unchanged.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compat_bridge.sas (reference-key lookup)</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Values reconciled to legacy within tolerance.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+2 variables.</w:t>
            </w:r>
          </w:p>
        </w:tc>
      </w:tr>
    </w:tbl>
    <w:p>
      <w:pPr>
        <w:spacing w:after="120"/>
      </w:pPr>
    </w:p>
    <w:p>
      <w:pPr>
        <w:pStyle w:val="Heading2"/>
      </w:pPr>
      <w:r>
        <w:rPr>
          <w:rFonts w:ascii="Arial" w:cs="Arial" w:eastAsia="Arial" w:hAnsi="Arial"/>
        </w:rPr>
        <w:t xml:space="preserve">D13 — Activity-sparse and unported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Validation scope / missing recipe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 one-year club count and a returner flag empty; one legacy variable absent.</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Recipe review: windows and thresholds correct; the harness audience had no recent club orders or qualifying returns. Legacy structure comparison found one unported variable.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Two variables were correct but empty on the sample. One variable had never been ported.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two validated on the full ~600K audience, where they populate and match legacy. The missing variable ported as one recipe on an existing builder.</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variables.sas (one new recipe)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Full-audience census.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+3 variables (→ 475 / 475).</w:t>
            </w:r>
          </w:p>
        </w:tc>
      </w:tr>
    </w:tbl>
    <w:p>
      <w:pPr>
        <w:spacing w:after="120"/>
      </w:pPr>
    </w:p>
    <w:p>
      <w:pPr>
        <w:pStyle w:val="Heading2"/>
      </w:pPr>
      <w:r>
        <w:rPr>
          <w:rFonts w:ascii="Arial" w:cs="Arial" w:eastAsia="Arial" w:hAnsi="Arial"/>
        </w:rPr>
        <w:t xml:space="preserve">D14 — Paid filter missing from a shipment 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Attribute</w:t>
            </w:r>
          </w:p>
        </w:tc>
        <w:tc>
          <w:tcPr>
            <w:tcW w:type="dxa" w:w="7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Fault class</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Overstated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Symptom</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 variable defined as paid shipments counted unpaid orders.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How it was found</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Recipe compared to its own definition; probe showed ~7% of counted orders unpaid.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Root cause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Paid-amount condition omitted from the recipe's flags; sibling variables carried it.</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Paid flag added to the recipe.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Where</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variables.sas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Verification</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Before/after probe.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Effect</w:t>
            </w:r>
          </w:p>
        </w:tc>
        <w:tc>
          <w:tcPr>
            <w:tcW w:type="dxa" w:w="7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Count corrected (~7% lower). Released only after business sign-off.</w:t>
            </w:r>
          </w:p>
        </w:tc>
      </w:tr>
    </w:tbl>
    <w:p>
      <w:pPr>
        <w:spacing w:after="120"/>
      </w:pPr>
    </w:p>
    <w:p>
      <w:pPr>
        <w:pStyle w:val="Heading1"/>
        <w:pageBreakBefore/>
      </w:pPr>
      <w:r>
        <w:rPr>
          <w:rFonts w:ascii="Arial" w:cs="Arial" w:eastAsia="Arial" w:hAnsi="Arial"/>
        </w:rPr>
        <w:t xml:space="preserve">4. Bridge File Specifications</w:t>
      </w:r>
    </w:p>
    <w:p>
      <w:pPr>
        <w:pStyle w:val="Heading2"/>
      </w:pPr>
      <w:r>
        <w:rPr>
          <w:rFonts w:ascii="Arial" w:cs="Arial" w:eastAsia="Arial" w:hAnsi="Arial"/>
        </w:rPr>
        <w:t xml:space="preserve">4.1 compat_bridge.sas — name and join translator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Component</w:t>
            </w:r>
          </w:p>
        </w:tc>
        <w:tc>
          <w:tcPr>
            <w:tcW w:type="dxa" w:w="34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Purpose</w:t>
            </w:r>
          </w:p>
        </w:tc>
        <w:tc>
          <w:tcPr>
            <w:tcW w:type="dxa" w:w="40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Behaviour</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Column mapper</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Translate legacy column names to CDP names</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Per-table lookup; unknown names returned unchanged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Join wrappers</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Ensure both sides of every join resolve correctly</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Override the engine's join builders by redefinition</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Value quoting</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Prevent type errors in comparisons</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Quotes numeric-looking values compared with character columns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Reference-key lookup</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Map retired identifiers to current ones</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Client-supplied; recipe text unchanged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Dedicated recipes</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Cases a name mapping cannot express</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Two-field date; corrected key-domain recipe</w:t>
            </w:r>
          </w:p>
        </w:tc>
      </w:tr>
    </w:tbl>
    <w:p>
      <w:pPr>
        <w:spacing w:after="120"/>
      </w:pPr>
    </w:p>
    <w:p>
      <w:pPr>
        <w:pStyle w:val="Heading2"/>
      </w:pPr>
      <w:r>
        <w:rPr>
          <w:rFonts w:ascii="Arial" w:cs="Arial" w:eastAsia="Arial" w:hAnsi="Arial"/>
        </w:rPr>
        <w:t xml:space="preserve">4.2 date_bridge.sas — date semantics guard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Component</w:t>
            </w:r>
          </w:p>
        </w:tc>
        <w:tc>
          <w:tcPr>
            <w:tcW w:type="dxa" w:w="34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Purpose</w:t>
            </w:r>
          </w:p>
        </w:tc>
        <w:tc>
          <w:tcPr>
            <w:tcW w:type="dxa" w:w="40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Behaviour</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Type detection</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Know what the platform returned</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Reads column type at run time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Guarded conversion</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Correct offset for every type</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Date-part extraction only where valid; DATE differenced directly</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Override by redefinition</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Leave the engine untouched</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Loaded after the engine; replaces the date branch</w:t>
            </w:r>
          </w:p>
        </w:tc>
      </w:tr>
    </w:tbl>
    <w:p>
      <w:pPr>
        <w:spacing w:after="120"/>
      </w:pPr>
    </w:p>
    <w:p>
      <w:pPr>
        <w:pStyle w:val="Heading2"/>
      </w:pPr>
      <w:r>
        <w:rPr>
          <w:rFonts w:ascii="Arial" w:cs="Arial" w:eastAsia="Arial" w:hAnsi="Arial"/>
        </w:rPr>
        <w:t xml:space="preserve">4.3 Load order</w:t>
      </w:r>
    </w:p>
    <w:p>
      <w:pPr>
        <w:pStyle w:val="ListParagraph"/>
        <w:numPr>
          <w:ilvl w:val="0"/>
          <w:numId w:val="3"/>
        </w:numPr>
        <w:spacing w:after="70" w:line="290"/>
      </w:pPr>
      <w:r>
        <w:rPr>
          <w:rFonts w:ascii="Arial" w:cs="Arial" w:eastAsia="Arial" w:hAnsi="Arial"/>
        </w:rPr>
        <w:t xml:space="preserve">driver.sas</w:t>
      </w:r>
    </w:p>
    <w:p>
      <w:pPr>
        <w:pStyle w:val="ListParagraph"/>
        <w:numPr>
          <w:ilvl w:val="0"/>
          <w:numId w:val="3"/>
        </w:numPr>
        <w:spacing w:after="70" w:line="290"/>
      </w:pPr>
      <w:r>
        <w:rPr>
          <w:rFonts w:ascii="Arial" w:cs="Arial" w:eastAsia="Arial" w:hAnsi="Arial"/>
        </w:rPr>
        <w:t xml:space="preserve">orchestrator.sas</w:t>
      </w:r>
    </w:p>
    <w:p>
      <w:pPr>
        <w:pStyle w:val="ListParagraph"/>
        <w:numPr>
          <w:ilvl w:val="0"/>
          <w:numId w:val="3"/>
        </w:numPr>
        <w:spacing w:after="70" w:line="290"/>
      </w:pPr>
      <w:r>
        <w:rPr>
          <w:rFonts w:ascii="Arial" w:cs="Arial" w:eastAsia="Arial" w:hAnsi="Arial"/>
        </w:rPr>
        <w:t xml:space="preserve">definitions.sas</w:t>
      </w:r>
    </w:p>
    <w:p>
      <w:pPr>
        <w:pStyle w:val="ListParagraph"/>
        <w:numPr>
          <w:ilvl w:val="0"/>
          <w:numId w:val="3"/>
        </w:numPr>
        <w:spacing w:after="70" w:line="290"/>
      </w:pPr>
      <w:r>
        <w:rPr>
          <w:rFonts w:ascii="Arial" w:cs="Arial" w:eastAsia="Arial" w:hAnsi="Arial"/>
        </w:rPr>
        <w:t xml:space="preserve">sql_engine.sas</w:t>
      </w:r>
    </w:p>
    <w:p>
      <w:pPr>
        <w:pStyle w:val="ListParagraph"/>
        <w:numPr>
          <w:ilvl w:val="0"/>
          <w:numId w:val="3"/>
        </w:numPr>
        <w:spacing w:after="70" w:line="290"/>
      </w:pPr>
      <w:r>
        <w:rPr>
          <w:rFonts w:ascii="Arial" w:cs="Arial" w:eastAsia="Arial" w:hAnsi="Arial"/>
        </w:rPr>
        <w:t xml:space="preserve">compat_bridge.sas</w:t>
      </w:r>
    </w:p>
    <w:p>
      <w:pPr>
        <w:pStyle w:val="ListParagraph"/>
        <w:numPr>
          <w:ilvl w:val="0"/>
          <w:numId w:val="3"/>
        </w:numPr>
        <w:spacing w:after="70" w:line="290"/>
      </w:pPr>
      <w:r>
        <w:rPr>
          <w:rFonts w:ascii="Arial" w:cs="Arial" w:eastAsia="Arial" w:hAnsi="Arial"/>
        </w:rPr>
        <w:t xml:space="preserve">date_bridge.sas</w:t>
      </w:r>
    </w:p>
    <w:p>
      <w:pPr>
        <w:pStyle w:val="ListParagraph"/>
        <w:numPr>
          <w:ilvl w:val="0"/>
          <w:numId w:val="3"/>
        </w:numPr>
        <w:spacing w:after="70" w:line="290"/>
      </w:pPr>
      <w:r>
        <w:rPr>
          <w:rFonts w:ascii="Arial" w:cs="Arial" w:eastAsia="Arial" w:hAnsi="Arial"/>
        </w:rPr>
        <w:t xml:space="preserve">variables.sas</w:t>
      </w:r>
    </w:p>
    <w:p>
      <w:pPr>
        <w:pStyle w:val="Heading1"/>
        <w:pageBreakBefore/>
      </w:pPr>
      <w:r>
        <w:rPr>
          <w:rFonts w:ascii="Arial" w:cs="Arial" w:eastAsia="Arial" w:hAnsi="Arial"/>
        </w:rPr>
        <w:t xml:space="preserve">5. Population Progression</w:t>
      </w:r>
    </w:p>
    <w:p>
      <w:pPr>
        <w:spacing w:after="140" w:line="300"/>
      </w:pPr>
      <w:r>
        <w:rPr>
          <w:rFonts w:ascii="Arial" w:cs="Arial" w:eastAsia="Arial" w:hAnsi="Arial"/>
        </w:rPr>
        <w:t xml:space="preserve">Every change was verified before the next began, so each step in the progression can be attributed to one cause.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600"/>
        <w:gridCol w:w="2038"/>
      </w:tblGrid>
      <w:tr>
        <w:trPr>
          <w:tblHeader/>
        </w:trPr>
        <w:tc>
          <w:tcPr>
            <w:tcW w:type="dxa" w:w="1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Stage</w:t>
            </w:r>
          </w:p>
        </w:tc>
        <w:tc>
          <w:tcPr>
            <w:tcW w:type="dxa" w:w="34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Change</w:t>
            </w:r>
          </w:p>
        </w:tc>
        <w:tc>
          <w:tcPr>
            <w:tcW w:type="dxa" w:w="2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Variables populating</w:t>
            </w:r>
          </w:p>
        </w:tc>
        <w:tc>
          <w:tcPr>
            <w:tcW w:type="dxa" w:w="20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Errors</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Baseline</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First CDP production run</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344 / 475 (72.4%)</w:t>
            </w:r>
          </w:p>
        </w:tc>
        <w:tc>
          <w:tcPr>
            <w:tcW w:type="dxa" w:w="2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~5,000</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D02</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Key rewrite removed</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423 / 475 (89.1%)</w:t>
            </w:r>
          </w:p>
        </w:tc>
        <w:tc>
          <w:tcPr>
            <w:tcW w:type="dxa" w:w="2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thousands (cascade)</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D03</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NULL-safe exclusions</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436 / 475 (91.8%)</w:t>
            </w:r>
          </w:p>
        </w:tc>
        <w:tc>
          <w:tcPr>
            <w:tcW w:type="dxa" w:w="2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3</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D04</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Two-field date</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437 / 475 (92.0%)</w:t>
            </w:r>
          </w:p>
        </w:tc>
        <w:tc>
          <w:tcPr>
            <w:tcW w:type="dxa" w:w="2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3</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D05</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Product mapping corrected</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464 / 475 (97.7%)</w:t>
            </w:r>
          </w:p>
        </w:tc>
        <w:tc>
          <w:tcPr>
            <w:tcW w:type="dxa" w:w="2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0</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Build date</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Run moved to a recent build date</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469 / 475 (98.7%)</w:t>
            </w:r>
          </w:p>
        </w:tc>
        <w:tc>
          <w:tcPr>
            <w:tcW w:type="dxa" w:w="2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0</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D11–D13</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Final six closed</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475 / 475 (100%)</w:t>
            </w:r>
          </w:p>
        </w:tc>
        <w:tc>
          <w:tcPr>
            <w:tcW w:type="dxa" w:w="2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0</w:t>
            </w:r>
          </w:p>
        </w:tc>
      </w:tr>
    </w:tbl>
    <w:p>
      <w:pPr>
        <w:spacing w:after="120"/>
      </w:pPr>
    </w:p>
    <w:p>
      <w:pPr>
        <w:pStyle w:val="Heading2"/>
      </w:pPr>
      <w:r>
        <w:rPr>
          <w:rFonts w:ascii="Arial" w:cs="Arial" w:eastAsia="Arial" w:hAnsi="Arial"/>
        </w:rPr>
        <w:t xml:space="preserve">5.1 The build-date effect</w:t>
      </w:r>
    </w:p>
    <w:p>
      <w:pPr>
        <w:spacing w:after="140" w:line="300"/>
      </w:pPr>
      <w:r>
        <w:rPr>
          <w:rFonts w:ascii="Arial" w:cs="Arial" w:eastAsia="Arial" w:hAnsi="Arial"/>
        </w:rPr>
        <w:t xml:space="preserve">Moving the run from an older to a recent build date populated five further variables with no code change. Every recipe looks backwards from the build date; the CDP was still receiving loads, so an older date could not reach rows loaded since. Variables with one- and two-year windows, closest to the boundary, moved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RULE</w:t>
            </w:r>
          </w:p>
          <w:p>
            <w:pPr>
              <w:spacing w:line="290"/>
            </w:pPr>
            <w:r>
              <w:rPr>
                <w:rFonts w:ascii="Arial" w:cs="Arial" w:eastAsia="Arial" w:hAnsi="Arial"/>
                <w:color w:val="1A288E"/>
                <w:sz w:val="20"/>
                <w:szCs w:val="20"/>
              </w:rPr>
              <w:t xml:space="preserve">A variable reported empty is only empty relative to the build date it ran against. Rule out the build date and the sample scope before escalating anything as missing data.</w:t>
            </w:r>
          </w:p>
        </w:tc>
      </w:tr>
    </w:tbl>
    <w:p>
      <w:pPr>
        <w:spacing w:after="120"/>
      </w:pPr>
    </w:p>
    <w:p>
      <w:pPr>
        <w:pStyle w:val="Heading1"/>
        <w:pageBreakBefore/>
      </w:pPr>
      <w:r>
        <w:rPr>
          <w:rFonts w:ascii="Arial" w:cs="Arial" w:eastAsia="Arial" w:hAnsi="Arial"/>
        </w:rPr>
        <w:t xml:space="preserve">6. Change Control</w:t>
      </w:r>
    </w:p>
    <w:p>
      <w:pPr>
        <w:spacing w:after="140" w:line="300"/>
      </w:pPr>
      <w:r>
        <w:rPr>
          <w:rFonts w:ascii="Arial" w:cs="Arial" w:eastAsia="Arial" w:hAnsi="Arial"/>
        </w:rPr>
        <w:t xml:space="preserve">Two defects (D03 interim fix, D11 first version) were introduced by fixes, and one (D09) by a deployment. Change control was tightened in 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Control</w:t>
            </w:r>
          </w:p>
        </w:tc>
        <w:tc>
          <w:tcPr>
            <w:tcW w:type="dxa" w:w="70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Practice</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Edit the real file</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Apply changes byte-for-byte to the source file, preserving encoding and line endings; never retype from memory</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Diff every change</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Diff the delivered file against the original; only the intended lines may differ</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Balance check</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Confirm macro definitions open and close in equal number</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Fresh-session compile check</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After deployment, confirm every expected macro exists in a session that has not loaded the old file</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Harness first</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Run the fix on the test harness across text and numeric columns and every operator spelling</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One change at a time</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Verify by value before layering the next change</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Back up the last good output</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Copy to a protected name before any risky run</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t xml:space="preserve">Showcase edition · anonymised  ·  Page </w:t>
    </w: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Volume 2  ·  Diagnosis &amp; Remediation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288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288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F9680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Diagnosis &amp; Remediation</dc:title>
  <dc:creator>Client Analytics</dc:creator>
  <cp:lastModifiedBy>Un-named</cp:lastModifiedBy>
  <cp:revision>1</cp:revision>
  <dcterms:created xsi:type="dcterms:W3CDTF">2026-10-04T09:44:10.643Z</dcterms:created>
  <dcterms:modified xsi:type="dcterms:W3CDTF">2026-10-04T09:44:10.643Z</dcterms:modified>
</cp:coreProperties>
</file>

<file path=docProps/custom.xml><?xml version="1.0" encoding="utf-8"?>
<Properties xmlns="http://schemas.openxmlformats.org/officeDocument/2006/custom-properties" xmlns:vt="http://schemas.openxmlformats.org/officeDocument/2006/docPropsVTypes"/>
</file>