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9488"/>
          <w:sz w:val="19"/>
        </w:rPr>
        <w:t>AGENCE MARKETING D'INFLUENCE PARIS | DIRECTION DES ANALYSES DATA</w:t>
        <w:br/>
      </w:r>
      <w:r>
        <w:rPr>
          <w:b/>
          <w:color w:val="0F172A"/>
          <w:sz w:val="40"/>
        </w:rPr>
        <w:t>GUIDE DE PRÉSENTATION ORALE (WALKTHROUGH 5 MIN)</w:t>
        <w:br/>
      </w:r>
      <w:r>
        <w:rPr>
          <w:i/>
          <w:color w:val="64748B"/>
          <w:sz w:val="21"/>
        </w:rPr>
        <w:t>Script mot à mot, guidage visuel par onglet, formules décortiquées &amp; réponses aux objections</w:t>
        <w:br/>
        <w:t>Projet : Rush 1 — DataViz Studio | Client : Marque Grand Public B2C</w:t>
      </w:r>
    </w:p>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200" w:type="dxa"/>
              <w:right w:w="200" w:type="dxa"/>
            </w:tcMar>
          </w:tcPr>
          <w:p>
            <w:pPr>
              <w:spacing w:line="276" w:lineRule="auto"/>
            </w:pPr>
            <w:r>
              <w:rPr>
                <w:b/>
                <w:color w:val="0F172A"/>
                <w:sz w:val="21"/>
              </w:rPr>
              <w:t>📌 RÈGLES STRICTES DE L'ÉPREUVE ORALE :</w:t>
              <w:br/>
            </w:r>
            <w:r>
              <w:rPr>
                <w:color w:val="1E293B"/>
                <w:sz w:val="19"/>
              </w:rPr>
              <w:t>• Durée : 5 minutes chrono suivies de quelques questions du manager (joué par le staff).</w:t>
              <w:br/>
              <w:t>• Zéro slide : Le classeur Excel (tiktok_performance_analysis.xlsx) est votre UNIQUE support projeté.</w:t>
              <w:br/>
              <w:t>• Posture : Vous êtes Junior Data Analyst face à votre Manager d'agence pressé. Il n'a pas le temps d'explorer un tableau de bord : il veut des réponses nettes, des preuves chiffrées et des recommandations directes pour le client.</w:t>
              <w:br/>
              <w:t>• Structure : Le classeur comporte 6 onglets d'excellence exécutive s'ouvrant sur l'Executive Summary.</w:t>
            </w:r>
          </w:p>
        </w:tc>
      </w:tr>
    </w:tbl>
    <w:p/>
    <w:p>
      <w:pPr>
        <w:pStyle w:val="Heading1"/>
      </w:pPr>
      <w:r>
        <w:rPr>
          <w:color w:val="0F172A"/>
          <w:sz w:val="28"/>
        </w:rPr>
        <w:t>I. SCRIPT ORAL DÉTAILLÉ — DÉROULÉ MINUTE PAR MINUTE</w:t>
      </w:r>
    </w:p>
    <w:p>
      <w:pPr>
        <w:pStyle w:val="Heading2"/>
      </w:pPr>
      <w:r>
        <w:rPr>
          <w:color w:val="1E3A8A"/>
          <w:sz w:val="22"/>
        </w:rPr>
        <w:t>MINUTE 1 (0:00 - 1:15) | ONGLET 1 : EXECUTIVE SUMMARY</w:t>
      </w:r>
    </w:p>
    <w:p>
      <w:r>
        <w:rPr>
          <w:b/>
          <w:color w:val="0F172A"/>
          <w:sz w:val="19"/>
        </w:rPr>
        <w:t>Thème : Accueil, Cadrage Macro &amp; Réfutation de l'Objection du Manager</w:t>
        <w:br/>
      </w:r>
      <w:r>
        <w:rPr>
          <w:i/>
          <w:color w:val="0D9488"/>
          <w:sz w:val="18"/>
        </w:rPr>
        <w:t>👉 Action à l'écran : Le classeur s'ouvre sur cet onglet. Pointer du doigt les 4 cartes KPI colorées, puis désigner le graphique à droite.</w:t>
      </w:r>
    </w:p>
    <w:tbl>
      <w:tblPr>
        <w:tblW w:type="auto" w:w="0"/>
        <w:jc w:val="center"/>
        <w:tblLayout w:type="fixed"/>
        <w:tblLook w:firstColumn="1" w:firstRow="1" w:lastColumn="0" w:lastRow="0" w:noHBand="0" w:noVBand="1" w:val="04A0"/>
      </w:tblPr>
      <w:tblGrid>
        <w:gridCol w:w="2592"/>
        <w:gridCol w:w="7056"/>
      </w:tblGrid>
      <w:tr>
        <w:tc>
          <w:tcPr>
            <w:tcW w:type="dxa" w:w="4896"/>
            <w:shd w:fill="F8FAFC"/>
            <w:tcMar>
              <w:top w:w="80" w:type="dxa"/>
              <w:bottom w:w="80" w:type="dxa"/>
              <w:left w:w="100" w:type="dxa"/>
              <w:right w:w="100" w:type="dxa"/>
            </w:tcMar>
          </w:tcPr>
          <w:p>
            <w:r>
              <w:rPr>
                <w:b/>
                <w:color w:val="0F172A"/>
                <w:sz w:val="18"/>
              </w:rPr>
              <w:t>Entrée en matière</w:t>
            </w:r>
          </w:p>
        </w:tc>
        <w:tc>
          <w:tcPr>
            <w:tcW w:type="dxa" w:w="4896"/>
            <w:tcMar>
              <w:top w:w="80" w:type="dxa"/>
              <w:bottom w:w="80" w:type="dxa"/>
              <w:left w:w="100" w:type="dxa"/>
              <w:right w:w="100" w:type="dxa"/>
            </w:tcMar>
          </w:tcPr>
          <w:p>
            <w:r>
              <w:rPr>
                <w:color w:val="1E293B"/>
                <w:sz w:val="19"/>
              </w:rPr>
              <w:t>« Bonjour. Entre deux réunions, tu m'as demandé ce qui sépare objectivement les créateurs et contenus performants sur TikTok pour notre client B2C, en apportant des preuves tangibles plutôt que des impressions visuelles. Voici la synthèse exécutive.</w:t>
            </w:r>
          </w:p>
        </w:tc>
      </w:tr>
      <w:tr>
        <w:tc>
          <w:tcPr>
            <w:tcW w:type="dxa" w:w="4896"/>
            <w:shd w:fill="F8FAFC"/>
            <w:tcMar>
              <w:top w:w="80" w:type="dxa"/>
              <w:bottom w:w="80" w:type="dxa"/>
              <w:left w:w="100" w:type="dxa"/>
              <w:right w:w="100" w:type="dxa"/>
            </w:tcMar>
          </w:tcPr>
          <w:p>
            <w:r>
              <w:rPr>
                <w:b/>
                <w:color w:val="0F172A"/>
                <w:sz w:val="18"/>
              </w:rPr>
              <w:t>Chiffres macro</w:t>
            </w:r>
          </w:p>
        </w:tc>
        <w:tc>
          <w:tcPr>
            <w:tcW w:type="dxa" w:w="4896"/>
            <w:tcMar>
              <w:top w:w="80" w:type="dxa"/>
              <w:bottom w:w="80" w:type="dxa"/>
              <w:left w:w="100" w:type="dxa"/>
              <w:right w:w="100" w:type="dxa"/>
            </w:tcMar>
          </w:tcPr>
          <w:p>
            <w:r>
              <w:rPr>
                <w:color w:val="1E293B"/>
                <w:sz w:val="19"/>
              </w:rPr>
              <w:t>Nous avons audité 100 vidéos représentant 6,8 milliards de vues cumulées. Première réalité data : sur TikTok, le compteur brut de vues est un indicateur trompeur. Ce qui compte pour une marque, c'est l'adhésion active de l'audience exposée. Notre benchmark établit un Taux d'Engagement médian solide à 16,1 % (Likes + Commentaires + Partages rapportés aux Vues).</w:t>
            </w:r>
          </w:p>
        </w:tc>
      </w:tr>
      <w:tr>
        <w:tc>
          <w:tcPr>
            <w:tcW w:type="dxa" w:w="4896"/>
            <w:shd w:fill="F8FAFC"/>
            <w:tcMar>
              <w:top w:w="80" w:type="dxa"/>
              <w:bottom w:w="80" w:type="dxa"/>
              <w:left w:w="100" w:type="dxa"/>
              <w:right w:w="100" w:type="dxa"/>
            </w:tcMar>
          </w:tcPr>
          <w:p>
            <w:r>
              <w:rPr>
                <w:b/>
                <w:color w:val="0F172A"/>
                <w:sz w:val="18"/>
              </w:rPr>
              <w:t>Réfutation objection</w:t>
            </w:r>
          </w:p>
        </w:tc>
        <w:tc>
          <w:tcPr>
            <w:tcW w:type="dxa" w:w="4896"/>
            <w:tcMar>
              <w:top w:w="80" w:type="dxa"/>
              <w:bottom w:w="80" w:type="dxa"/>
              <w:left w:w="100" w:type="dxa"/>
              <w:right w:w="100" w:type="dxa"/>
            </w:tcMar>
          </w:tcPr>
          <w:p>
            <w:r>
              <w:rPr>
                <w:color w:val="1E293B"/>
                <w:sz w:val="19"/>
              </w:rPr>
              <w:t>Je sais que ta première objection était : 'Les gros comptes gagnent forcément d'office'. Regarde ce premier graphique à droite : la donnée prouve exactement le contraire.</w:t>
            </w:r>
          </w:p>
        </w:tc>
      </w:tr>
      <w:tr>
        <w:tc>
          <w:tcPr>
            <w:tcW w:type="dxa" w:w="4896"/>
            <w:shd w:fill="F8FAFC"/>
            <w:tcMar>
              <w:top w:w="80" w:type="dxa"/>
              <w:bottom w:w="80" w:type="dxa"/>
              <w:left w:w="100" w:type="dxa"/>
              <w:right w:w="100" w:type="dxa"/>
            </w:tcMar>
          </w:tcPr>
          <w:p>
            <w:r>
              <w:rPr>
                <w:b/>
                <w:color w:val="0F172A"/>
                <w:sz w:val="18"/>
              </w:rPr>
              <w:t>Preuve chiffrée</w:t>
            </w:r>
          </w:p>
        </w:tc>
        <w:tc>
          <w:tcPr>
            <w:tcW w:type="dxa" w:w="4896"/>
            <w:tcMar>
              <w:top w:w="80" w:type="dxa"/>
              <w:bottom w:w="80" w:type="dxa"/>
              <w:left w:w="100" w:type="dxa"/>
              <w:right w:w="100" w:type="dxa"/>
            </w:tcMar>
          </w:tcPr>
          <w:p>
            <w:r>
              <w:rPr>
                <w:color w:val="1E293B"/>
                <w:sz w:val="19"/>
              </w:rPr>
              <w:t>Les Micro-comptes (&lt; 1M abonnés) génèrent en médiane 106,9 fois leur base d'abonnés en vues, contre seulement 6,1 fois pour les Mega comptes (&gt; 5M). De plus, leur engagement médian est supérieur : 19,4 % contre 15,2 %.</w:t>
            </w:r>
          </w:p>
        </w:tc>
      </w:tr>
      <w:tr>
        <w:tc>
          <w:tcPr>
            <w:tcW w:type="dxa" w:w="4896"/>
            <w:shd w:fill="F8FAFC"/>
            <w:tcMar>
              <w:top w:w="80" w:type="dxa"/>
              <w:bottom w:w="80" w:type="dxa"/>
              <w:left w:w="100" w:type="dxa"/>
              <w:right w:w="100" w:type="dxa"/>
            </w:tcMar>
          </w:tcPr>
          <w:p>
            <w:r>
              <w:rPr>
                <w:b/>
                <w:color w:val="0F172A"/>
                <w:sz w:val="18"/>
              </w:rPr>
              <w:t>Conclusion business</w:t>
            </w:r>
          </w:p>
        </w:tc>
        <w:tc>
          <w:tcPr>
            <w:tcW w:type="dxa" w:w="4896"/>
            <w:tcMar>
              <w:top w:w="80" w:type="dxa"/>
              <w:bottom w:w="80" w:type="dxa"/>
              <w:left w:w="100" w:type="dxa"/>
              <w:right w:w="100" w:type="dxa"/>
            </w:tcMar>
          </w:tcPr>
          <w:p>
            <w:r>
              <w:rPr>
                <w:color w:val="1E293B"/>
                <w:sz w:val="19"/>
              </w:rPr>
              <w:t>Verdict : Pour notre client B2C, concentrer le budget sur des micro/mid créateurs assure une rentabilité et un reach organique démultiplié.</w:t>
            </w:r>
          </w:p>
        </w:tc>
      </w:tr>
    </w:tbl>
    <w:p/>
    <w:p>
      <w:pPr>
        <w:pStyle w:val="Heading2"/>
      </w:pPr>
      <w:r>
        <w:rPr>
          <w:color w:val="1E3A8A"/>
          <w:sz w:val="22"/>
        </w:rPr>
        <w:t>MINUTE 2 (1:15 - 2:15) | ONGLETS 2 &amp; 3 : TREEMAP &amp; MATRICE DE SÉLECTION BCG</w:t>
      </w:r>
    </w:p>
    <w:p>
      <w:r>
        <w:rPr>
          <w:b/>
          <w:color w:val="0F172A"/>
          <w:sz w:val="19"/>
        </w:rPr>
        <w:t>Thème : Cartographie Visuelle des Créateurs &amp; Matrice BCG en Plein Écran</w:t>
        <w:br/>
      </w:r>
      <w:r>
        <w:rPr>
          <w:i/>
          <w:color w:val="0D9488"/>
          <w:sz w:val="18"/>
        </w:rPr>
        <w:t>👉 Action à l'écran : Cliquer sur 'Creators &amp; Treemap' pour montrer le TreeMap officiel taille/couleur. Puis basculer sur l'onglet 3 'Decision Matrix (BCG)' pour faire briller la matrice des 4 quadrants.</w:t>
      </w:r>
    </w:p>
    <w:tbl>
      <w:tblPr>
        <w:tblW w:type="auto" w:w="0"/>
        <w:jc w:val="center"/>
        <w:tblLayout w:type="fixed"/>
        <w:tblLook w:firstColumn="1" w:firstRow="1" w:lastColumn="0" w:lastRow="0" w:noHBand="0" w:noVBand="1" w:val="04A0"/>
      </w:tblPr>
      <w:tblGrid>
        <w:gridCol w:w="2592"/>
        <w:gridCol w:w="7056"/>
      </w:tblGrid>
      <w:tr>
        <w:tc>
          <w:tcPr>
            <w:tcW w:type="dxa" w:w="4896"/>
            <w:shd w:fill="F8FAFC"/>
            <w:tcMar>
              <w:top w:w="80" w:type="dxa"/>
              <w:bottom w:w="80" w:type="dxa"/>
              <w:left w:w="100" w:type="dxa"/>
              <w:right w:w="100" w:type="dxa"/>
            </w:tcMar>
          </w:tcPr>
          <w:p>
            <w:r>
              <w:rPr>
                <w:b/>
                <w:color w:val="0F172A"/>
                <w:sz w:val="18"/>
              </w:rPr>
              <w:t>Présentation Treemap</w:t>
            </w:r>
          </w:p>
        </w:tc>
        <w:tc>
          <w:tcPr>
            <w:tcW w:type="dxa" w:w="4896"/>
            <w:tcMar>
              <w:top w:w="80" w:type="dxa"/>
              <w:bottom w:w="80" w:type="dxa"/>
              <w:left w:w="100" w:type="dxa"/>
              <w:right w:w="100" w:type="dxa"/>
            </w:tcMar>
          </w:tcPr>
          <w:p>
            <w:r>
              <w:rPr>
                <w:color w:val="1E293B"/>
                <w:sz w:val="19"/>
              </w:rPr>
              <w:t>« Le client a expressément exigé un graphique TreeMap : le voici dans l'onglet 2. La surface de chaque tuile représente le volume de vues cumulé en millions, et la couleur identifie l'univers de contenu : Bleu pour l'Humour, Vert pour les Animaux, Ambre pour les Talents, Rose pour la Famille et Indigo pour le Sport.</w:t>
            </w:r>
          </w:p>
        </w:tc>
      </w:tr>
      <w:tr>
        <w:tc>
          <w:tcPr>
            <w:tcW w:type="dxa" w:w="4896"/>
            <w:shd w:fill="F8FAFC"/>
            <w:tcMar>
              <w:top w:w="80" w:type="dxa"/>
              <w:bottom w:w="80" w:type="dxa"/>
              <w:left w:w="100" w:type="dxa"/>
              <w:right w:w="100" w:type="dxa"/>
            </w:tcMar>
          </w:tcPr>
          <w:p>
            <w:r>
              <w:rPr>
                <w:b/>
                <w:color w:val="0F172A"/>
                <w:sz w:val="18"/>
              </w:rPr>
              <w:t>Transition Matrice BCG</w:t>
            </w:r>
          </w:p>
        </w:tc>
        <w:tc>
          <w:tcPr>
            <w:tcW w:type="dxa" w:w="4896"/>
            <w:tcMar>
              <w:top w:w="80" w:type="dxa"/>
              <w:bottom w:w="80" w:type="dxa"/>
              <w:left w:w="100" w:type="dxa"/>
              <w:right w:w="100" w:type="dxa"/>
            </w:tcMar>
          </w:tcPr>
          <w:p>
            <w:r>
              <w:rPr>
                <w:color w:val="1E293B"/>
                <w:sz w:val="19"/>
              </w:rPr>
              <w:t>Passons à l'onglet 3 dédié : voici notre Matrice d'Aide à la Décision inspirée des matrices stratégiques BCG / Gartner. Elle croise l'Engagement (%) avec la taille d'audience en échelle log.</w:t>
            </w:r>
          </w:p>
        </w:tc>
      </w:tr>
      <w:tr>
        <w:tc>
          <w:tcPr>
            <w:tcW w:type="dxa" w:w="4896"/>
            <w:shd w:fill="F8FAFC"/>
            <w:tcMar>
              <w:top w:w="80" w:type="dxa"/>
              <w:bottom w:w="80" w:type="dxa"/>
              <w:left w:w="100" w:type="dxa"/>
              <w:right w:w="100" w:type="dxa"/>
            </w:tcMar>
          </w:tcPr>
          <w:p>
            <w:r>
              <w:rPr>
                <w:b/>
                <w:color w:val="0F172A"/>
                <w:sz w:val="18"/>
              </w:rPr>
              <w:t>Focus Quadrant 1 (Pépites)</w:t>
            </w:r>
          </w:p>
        </w:tc>
        <w:tc>
          <w:tcPr>
            <w:tcW w:type="dxa" w:w="4896"/>
            <w:tcMar>
              <w:top w:w="80" w:type="dxa"/>
              <w:bottom w:w="80" w:type="dxa"/>
              <w:left w:w="100" w:type="dxa"/>
              <w:right w:w="100" w:type="dxa"/>
            </w:tcMar>
          </w:tcPr>
          <w:p>
            <w:r>
              <w:rPr>
                <w:color w:val="1E293B"/>
                <w:sz w:val="19"/>
              </w:rPr>
              <w:t>Regarde le Quadrant 1 en haut à gauche (vert clair) : ce sont nos 'Pépites Virales' comme @banditthecoon ou @crinka11. Avec moins de 1,5M d'abonnés, ils affichent plus de 19 % d'engagement et des multiplicateurs viraux supérieurs à 50x.</w:t>
            </w:r>
          </w:p>
        </w:tc>
      </w:tr>
      <w:tr>
        <w:tc>
          <w:tcPr>
            <w:tcW w:type="dxa" w:w="4896"/>
            <w:shd w:fill="F8FAFC"/>
            <w:tcMar>
              <w:top w:w="80" w:type="dxa"/>
              <w:bottom w:w="80" w:type="dxa"/>
              <w:left w:w="100" w:type="dxa"/>
              <w:right w:w="100" w:type="dxa"/>
            </w:tcMar>
          </w:tcPr>
          <w:p>
            <w:r>
              <w:rPr>
                <w:b/>
                <w:color w:val="0F172A"/>
                <w:sz w:val="18"/>
              </w:rPr>
              <w:t>Recommandation casting</w:t>
            </w:r>
          </w:p>
        </w:tc>
        <w:tc>
          <w:tcPr>
            <w:tcW w:type="dxa" w:w="4896"/>
            <w:tcMar>
              <w:top w:w="80" w:type="dxa"/>
              <w:bottom w:w="80" w:type="dxa"/>
              <w:left w:w="100" w:type="dxa"/>
              <w:right w:w="100" w:type="dxa"/>
            </w:tcMar>
          </w:tcPr>
          <w:p>
            <w:r>
              <w:rPr>
                <w:color w:val="1E293B"/>
                <w:sz w:val="19"/>
              </w:rPr>
              <w:t>Dans les tableaux associés, chaque calcul est explicité dans une colonne dédiée. Notre recommandation de casting pour la marque : un mix 70 % de créateurs Micro/Mid pour générer l'engagement et la conversion, et 30 % de têtes d'affiche Mega pour asseoir la caution institutionnelle de la marque.</w:t>
            </w:r>
          </w:p>
        </w:tc>
      </w:tr>
    </w:tbl>
    <w:p/>
    <w:p>
      <w:pPr>
        <w:pStyle w:val="Heading2"/>
      </w:pPr>
      <w:r>
        <w:rPr>
          <w:color w:val="1E3A8A"/>
          <w:sz w:val="22"/>
        </w:rPr>
        <w:t>MINUTE 3 (2:15 - 3:15) | ONGLET 4 : DEEP DIVE &amp; FACTORS</w:t>
      </w:r>
    </w:p>
    <w:p>
      <w:r>
        <w:rPr>
          <w:b/>
          <w:color w:val="0F172A"/>
          <w:sz w:val="19"/>
        </w:rPr>
        <w:t>Thème : Décomposition Factorielle : Ce que le Créateur Contrôle vs Subit</w:t>
        <w:br/>
      </w:r>
      <w:r>
        <w:rPr>
          <w:i/>
          <w:color w:val="0D9488"/>
          <w:sz w:val="18"/>
        </w:rPr>
        <w:t>👉 Action à l'écran : Cliquer sur 'Deep Dive &amp; Factors'. Montrer le graphique combiné double axe en haut, puis les 4 tableaux analytiques.</w:t>
      </w:r>
    </w:p>
    <w:tbl>
      <w:tblPr>
        <w:tblW w:type="auto" w:w="0"/>
        <w:jc w:val="center"/>
        <w:tblLayout w:type="fixed"/>
        <w:tblLook w:firstColumn="1" w:firstRow="1" w:lastColumn="0" w:lastRow="0" w:noHBand="0" w:noVBand="1" w:val="04A0"/>
      </w:tblPr>
      <w:tblGrid>
        <w:gridCol w:w="2592"/>
        <w:gridCol w:w="7056"/>
      </w:tblGrid>
      <w:tr>
        <w:tc>
          <w:tcPr>
            <w:tcW w:type="dxa" w:w="4896"/>
            <w:shd w:fill="F8FAFC"/>
            <w:tcMar>
              <w:top w:w="80" w:type="dxa"/>
              <w:bottom w:w="80" w:type="dxa"/>
              <w:left w:w="100" w:type="dxa"/>
              <w:right w:w="100" w:type="dxa"/>
            </w:tcMar>
          </w:tcPr>
          <w:p>
            <w:r>
              <w:rPr>
                <w:b/>
                <w:color w:val="0F172A"/>
                <w:sz w:val="18"/>
              </w:rPr>
              <w:t>Introduction facteurs</w:t>
            </w:r>
          </w:p>
        </w:tc>
        <w:tc>
          <w:tcPr>
            <w:tcW w:type="dxa" w:w="4896"/>
            <w:tcMar>
              <w:top w:w="80" w:type="dxa"/>
              <w:bottom w:w="80" w:type="dxa"/>
              <w:left w:w="100" w:type="dxa"/>
              <w:right w:w="100" w:type="dxa"/>
            </w:tcMar>
          </w:tcPr>
          <w:p>
            <w:r>
              <w:rPr>
                <w:color w:val="1E293B"/>
                <w:sz w:val="19"/>
              </w:rPr>
              <w:t>« Passons à l'onglet 4 : nous avons isolé ce que le créateur contrôle activement de ce qui est une simple conséquence structurelle.</w:t>
            </w:r>
          </w:p>
        </w:tc>
      </w:tr>
      <w:tr>
        <w:tc>
          <w:tcPr>
            <w:tcW w:type="dxa" w:w="4896"/>
            <w:shd w:fill="F8FAFC"/>
            <w:tcMar>
              <w:top w:w="80" w:type="dxa"/>
              <w:bottom w:w="80" w:type="dxa"/>
              <w:left w:w="100" w:type="dxa"/>
              <w:right w:w="100" w:type="dxa"/>
            </w:tcMar>
          </w:tcPr>
          <w:p>
            <w:r>
              <w:rPr>
                <w:b/>
                <w:color w:val="0F172A"/>
                <w:sz w:val="18"/>
              </w:rPr>
              <w:t>Levier 1 : Durée</w:t>
            </w:r>
          </w:p>
        </w:tc>
        <w:tc>
          <w:tcPr>
            <w:tcW w:type="dxa" w:w="4896"/>
            <w:tcMar>
              <w:top w:w="80" w:type="dxa"/>
              <w:bottom w:w="80" w:type="dxa"/>
              <w:left w:w="100" w:type="dxa"/>
              <w:right w:w="100" w:type="dxa"/>
            </w:tcMar>
          </w:tcPr>
          <w:p>
            <w:r>
              <w:rPr>
                <w:color w:val="1E293B"/>
                <w:sz w:val="19"/>
              </w:rPr>
              <w:t>Premier levier contrôlable : la Durée. Le format ultra-court (&lt;= 15 secondes) est le champion du reach avec 75,8 millions de vues moyennes. 83 % des vidéos tendances font moins de 15s (médiane à 11 secondes). À l'inverse, le format long (&gt; 30s) sacrifie le volume (52,7M) mais fidélise l'engagement le plus fort (18,9 % d'ER moyen).</w:t>
            </w:r>
          </w:p>
        </w:tc>
      </w:tr>
      <w:tr>
        <w:tc>
          <w:tcPr>
            <w:tcW w:type="dxa" w:w="4896"/>
            <w:shd w:fill="F8FAFC"/>
            <w:tcMar>
              <w:top w:w="80" w:type="dxa"/>
              <w:bottom w:w="80" w:type="dxa"/>
              <w:left w:w="100" w:type="dxa"/>
              <w:right w:w="100" w:type="dxa"/>
            </w:tcMar>
          </w:tcPr>
          <w:p>
            <w:r>
              <w:rPr>
                <w:b/>
                <w:color w:val="0F172A"/>
                <w:sz w:val="18"/>
              </w:rPr>
              <w:t>Levier 2 : Audio</w:t>
            </w:r>
          </w:p>
        </w:tc>
        <w:tc>
          <w:tcPr>
            <w:tcW w:type="dxa" w:w="4896"/>
            <w:tcMar>
              <w:top w:w="80" w:type="dxa"/>
              <w:bottom w:w="80" w:type="dxa"/>
              <w:left w:w="100" w:type="dxa"/>
              <w:right w:w="100" w:type="dxa"/>
            </w:tcMar>
          </w:tcPr>
          <w:p>
            <w:r>
              <w:rPr>
                <w:color w:val="1E293B"/>
                <w:sz w:val="19"/>
              </w:rPr>
              <w:t>Deuxième levier : l'Audio. 75 % des vidéos virales utilisent des sons originaux ou des memes audio (+20 % de vues moyennes : 71,4M vs 59,4M pour les musiques commerciales sous licence standard). Recommandation : créer un audio de marque tendance plutôt qu'imposer un jingle corporate.</w:t>
            </w:r>
          </w:p>
        </w:tc>
      </w:tr>
      <w:tr>
        <w:tc>
          <w:tcPr>
            <w:tcW w:type="dxa" w:w="4896"/>
            <w:shd w:fill="F8FAFC"/>
            <w:tcMar>
              <w:top w:w="80" w:type="dxa"/>
              <w:bottom w:w="80" w:type="dxa"/>
              <w:left w:w="100" w:type="dxa"/>
              <w:right w:w="100" w:type="dxa"/>
            </w:tcMar>
          </w:tcPr>
          <w:p>
            <w:r>
              <w:rPr>
                <w:b/>
                <w:color w:val="0F172A"/>
                <w:sz w:val="18"/>
              </w:rPr>
              <w:t>Faux leviers éliminés</w:t>
            </w:r>
          </w:p>
        </w:tc>
        <w:tc>
          <w:tcPr>
            <w:tcW w:type="dxa" w:w="4896"/>
            <w:tcMar>
              <w:top w:w="80" w:type="dxa"/>
              <w:bottom w:w="80" w:type="dxa"/>
              <w:left w:w="100" w:type="dxa"/>
              <w:right w:w="100" w:type="dxa"/>
            </w:tcMar>
          </w:tcPr>
          <w:p>
            <w:r>
              <w:rPr>
                <w:color w:val="1E293B"/>
                <w:sz w:val="19"/>
              </w:rPr>
              <w:t>Enfin, rigueur oblige, nous avons testé les faux leviers : le badge vérifié (Verified) n'apporte aucun bonus d'audience (65,8M avec badge vs 70,2M sans badge) et le Stitch n'a pas d'impact. Ne surpayons pas un créateur sur le seul critère de la pastille bleue.</w:t>
            </w:r>
          </w:p>
        </w:tc>
      </w:tr>
    </w:tbl>
    <w:p/>
    <w:p>
      <w:pPr>
        <w:pStyle w:val="Heading2"/>
      </w:pPr>
      <w:r>
        <w:rPr>
          <w:color w:val="1E3A8A"/>
          <w:sz w:val="22"/>
        </w:rPr>
        <w:t>MINUTE 4 (3:15 - 4:15) | ONGLET 5 : CAMPAIGN SIMULATOR &amp; ROI</w:t>
      </w:r>
    </w:p>
    <w:p>
      <w:r>
        <w:rPr>
          <w:b/>
          <w:color w:val="0F172A"/>
          <w:sz w:val="19"/>
        </w:rPr>
        <w:t>Thème : Traduction Financière : Simulation Budgétaire &amp; Comparatif Scénarios</w:t>
        <w:br/>
      </w:r>
      <w:r>
        <w:rPr>
          <w:i/>
          <w:color w:val="0D9488"/>
          <w:sz w:val="18"/>
        </w:rPr>
        <w:t>👉 Action à l'écran : Cliquer sur 'Campaign Simulator &amp; ROI'. Montrer les deux scénarios comparatifs d'allocation budgétaire.</w:t>
      </w:r>
    </w:p>
    <w:tbl>
      <w:tblPr>
        <w:tblW w:type="auto" w:w="0"/>
        <w:jc w:val="center"/>
        <w:tblLayout w:type="fixed"/>
        <w:tblLook w:firstColumn="1" w:firstRow="1" w:lastColumn="0" w:lastRow="0" w:noHBand="0" w:noVBand="1" w:val="04A0"/>
      </w:tblPr>
      <w:tblGrid>
        <w:gridCol w:w="2592"/>
        <w:gridCol w:w="7056"/>
      </w:tblGrid>
      <w:tr>
        <w:tc>
          <w:tcPr>
            <w:tcW w:type="dxa" w:w="4896"/>
            <w:shd w:fill="F8FAFC"/>
            <w:tcMar>
              <w:top w:w="80" w:type="dxa"/>
              <w:bottom w:w="80" w:type="dxa"/>
              <w:left w:w="100" w:type="dxa"/>
              <w:right w:w="100" w:type="dxa"/>
            </w:tcMar>
          </w:tcPr>
          <w:p>
            <w:r>
              <w:rPr>
                <w:b/>
                <w:color w:val="0F172A"/>
                <w:sz w:val="18"/>
              </w:rPr>
              <w:t>Transition business</w:t>
            </w:r>
          </w:p>
        </w:tc>
        <w:tc>
          <w:tcPr>
            <w:tcW w:type="dxa" w:w="4896"/>
            <w:tcMar>
              <w:top w:w="80" w:type="dxa"/>
              <w:bottom w:w="80" w:type="dxa"/>
              <w:left w:w="100" w:type="dxa"/>
              <w:right w:w="100" w:type="dxa"/>
            </w:tcMar>
          </w:tcPr>
          <w:p>
            <w:r>
              <w:rPr>
                <w:color w:val="1E293B"/>
                <w:sz w:val="19"/>
              </w:rPr>
              <w:t>« Un manager ne s'arrête pas aux observations data, il veut voir l'impact financier. J'ai donc modélisé dans cet onglet 5 un simulateur budgétaire sur une enveloppe type de 100 000 €.</w:t>
            </w:r>
          </w:p>
        </w:tc>
      </w:tr>
      <w:tr>
        <w:tc>
          <w:tcPr>
            <w:tcW w:type="dxa" w:w="4896"/>
            <w:shd w:fill="F8FAFC"/>
            <w:tcMar>
              <w:top w:w="80" w:type="dxa"/>
              <w:bottom w:w="80" w:type="dxa"/>
              <w:left w:w="100" w:type="dxa"/>
              <w:right w:w="100" w:type="dxa"/>
            </w:tcMar>
          </w:tcPr>
          <w:p>
            <w:r>
              <w:rPr>
                <w:b/>
                <w:color w:val="0F172A"/>
                <w:sz w:val="18"/>
              </w:rPr>
              <w:t>Scénario Classique</w:t>
            </w:r>
          </w:p>
        </w:tc>
        <w:tc>
          <w:tcPr>
            <w:tcW w:type="dxa" w:w="4896"/>
            <w:tcMar>
              <w:top w:w="80" w:type="dxa"/>
              <w:bottom w:w="80" w:type="dxa"/>
              <w:left w:w="100" w:type="dxa"/>
              <w:right w:w="100" w:type="dxa"/>
            </w:tcMar>
          </w:tcPr>
          <w:p>
            <w:r>
              <w:rPr>
                <w:color w:val="1E293B"/>
                <w:sz w:val="19"/>
              </w:rPr>
              <w:t>Le Scénario A (Approche classique) alloue 100 % du budget à 2 Mega-influenceurs. Résultat : 55 millions de vues estimées, 14,2 % d'engagement, mais un risque algorithmique maximal concentré sur deux vidéos.</w:t>
            </w:r>
          </w:p>
        </w:tc>
      </w:tr>
      <w:tr>
        <w:tc>
          <w:tcPr>
            <w:tcW w:type="dxa" w:w="4896"/>
            <w:shd w:fill="F8FAFC"/>
            <w:tcMar>
              <w:top w:w="80" w:type="dxa"/>
              <w:bottom w:w="80" w:type="dxa"/>
              <w:left w:w="100" w:type="dxa"/>
              <w:right w:w="100" w:type="dxa"/>
            </w:tcMar>
          </w:tcPr>
          <w:p>
            <w:r>
              <w:rPr>
                <w:b/>
                <w:color w:val="0F172A"/>
                <w:sz w:val="18"/>
              </w:rPr>
              <w:t>Scénario Data-Driven</w:t>
            </w:r>
          </w:p>
        </w:tc>
        <w:tc>
          <w:tcPr>
            <w:tcW w:type="dxa" w:w="4896"/>
            <w:tcMar>
              <w:top w:w="80" w:type="dxa"/>
              <w:bottom w:w="80" w:type="dxa"/>
              <w:left w:w="100" w:type="dxa"/>
              <w:right w:w="100" w:type="dxa"/>
            </w:tcMar>
          </w:tcPr>
          <w:p>
            <w:r>
              <w:rPr>
                <w:color w:val="1E293B"/>
                <w:sz w:val="19"/>
              </w:rPr>
              <w:t>Le Scénario B (Notre recommandation Data-Driven) ventile 70 000 € sur 13 créateurs Micro/Mid et 30 000 € sur 1 Mega. Résultat : 118,5 millions de vues estimées (soit +114 % de portée), un engagement moyen de 18,6 %, et un CPM divisé par deux (0,84 € vs 1,81 €).</w:t>
            </w:r>
          </w:p>
        </w:tc>
      </w:tr>
      <w:tr>
        <w:tc>
          <w:tcPr>
            <w:tcW w:type="dxa" w:w="4896"/>
            <w:shd w:fill="F8FAFC"/>
            <w:tcMar>
              <w:top w:w="80" w:type="dxa"/>
              <w:bottom w:w="80" w:type="dxa"/>
              <w:left w:w="100" w:type="dxa"/>
              <w:right w:w="100" w:type="dxa"/>
            </w:tcMar>
          </w:tcPr>
          <w:p>
            <w:r>
              <w:rPr>
                <w:b/>
                <w:color w:val="0F172A"/>
                <w:sz w:val="18"/>
              </w:rPr>
              <w:t>Argument client</w:t>
            </w:r>
          </w:p>
        </w:tc>
        <w:tc>
          <w:tcPr>
            <w:tcW w:type="dxa" w:w="4896"/>
            <w:tcMar>
              <w:top w:w="80" w:type="dxa"/>
              <w:bottom w:w="80" w:type="dxa"/>
              <w:left w:w="100" w:type="dxa"/>
              <w:right w:w="100" w:type="dxa"/>
            </w:tcMar>
          </w:tcPr>
          <w:p>
            <w:r>
              <w:rPr>
                <w:color w:val="1E293B"/>
                <w:sz w:val="19"/>
              </w:rPr>
              <w:t>Ce simulateur permet à notre manager de défendre auprès du client une stratégie budgétaire mathématiquement optimisée.</w:t>
            </w:r>
          </w:p>
        </w:tc>
      </w:tr>
    </w:tbl>
    <w:p/>
    <w:p>
      <w:pPr>
        <w:pStyle w:val="Heading2"/>
      </w:pPr>
      <w:r>
        <w:rPr>
          <w:color w:val="1E3A8A"/>
          <w:sz w:val="22"/>
        </w:rPr>
        <w:t>MINUTE 5 (4:15 - 5:00) | ONGLET 6 : CLEAN DATA &amp; CONCLUSION</w:t>
      </w:r>
    </w:p>
    <w:p>
      <w:r>
        <w:rPr>
          <w:b/>
          <w:color w:val="0F172A"/>
          <w:sz w:val="19"/>
        </w:rPr>
        <w:t>Thème : Conformité RGPD, Intégrité du Classeur &amp; Conclusion</w:t>
        <w:br/>
      </w:r>
      <w:r>
        <w:rPr>
          <w:i/>
          <w:color w:val="0D9488"/>
          <w:sz w:val="18"/>
        </w:rPr>
        <w:t>👉 Action à l'écran : Cliquer sur 'Clean Data'. Faire défiler rapidement la table propre en montrant les formules Excel et l'anonymisation.</w:t>
      </w:r>
    </w:p>
    <w:tbl>
      <w:tblPr>
        <w:tblW w:type="auto" w:w="0"/>
        <w:jc w:val="center"/>
        <w:tblLayout w:type="fixed"/>
        <w:tblLook w:firstColumn="1" w:firstRow="1" w:lastColumn="0" w:lastRow="0" w:noHBand="0" w:noVBand="1" w:val="04A0"/>
      </w:tblPr>
      <w:tblGrid>
        <w:gridCol w:w="2592"/>
        <w:gridCol w:w="7056"/>
      </w:tblGrid>
      <w:tr>
        <w:tc>
          <w:tcPr>
            <w:tcW w:type="dxa" w:w="4896"/>
            <w:shd w:fill="F8FAFC"/>
            <w:tcMar>
              <w:top w:w="80" w:type="dxa"/>
              <w:bottom w:w="80" w:type="dxa"/>
              <w:left w:w="100" w:type="dxa"/>
              <w:right w:w="100" w:type="dxa"/>
            </w:tcMar>
          </w:tcPr>
          <w:p>
            <w:r>
              <w:rPr>
                <w:b/>
                <w:color w:val="0F172A"/>
                <w:sz w:val="18"/>
              </w:rPr>
              <w:t>Présentation données</w:t>
            </w:r>
          </w:p>
        </w:tc>
        <w:tc>
          <w:tcPr>
            <w:tcW w:type="dxa" w:w="4896"/>
            <w:tcMar>
              <w:top w:w="80" w:type="dxa"/>
              <w:bottom w:w="80" w:type="dxa"/>
              <w:left w:w="100" w:type="dxa"/>
              <w:right w:w="100" w:type="dxa"/>
            </w:tcMar>
          </w:tcPr>
          <w:p>
            <w:r>
              <w:rPr>
                <w:color w:val="1E293B"/>
                <w:sz w:val="19"/>
              </w:rPr>
              <w:t>« Pour finir, l'onglet 6 regroupe les 100 observations nettoyées. Toutes les interactions, taux d'engagement et multiplicateurs viraux sont calculés via des formules Excel natives dynamiques.</w:t>
            </w:r>
          </w:p>
        </w:tc>
      </w:tr>
      <w:tr>
        <w:tc>
          <w:tcPr>
            <w:tcW w:type="dxa" w:w="4896"/>
            <w:shd w:fill="F8FAFC"/>
            <w:tcMar>
              <w:top w:w="80" w:type="dxa"/>
              <w:bottom w:w="80" w:type="dxa"/>
              <w:left w:w="100" w:type="dxa"/>
              <w:right w:w="100" w:type="dxa"/>
            </w:tcMar>
          </w:tcPr>
          <w:p>
            <w:r>
              <w:rPr>
                <w:b/>
                <w:color w:val="0F172A"/>
                <w:sz w:val="18"/>
              </w:rPr>
              <w:t>Conformité RGPD</w:t>
            </w:r>
          </w:p>
        </w:tc>
        <w:tc>
          <w:tcPr>
            <w:tcW w:type="dxa" w:w="4896"/>
            <w:tcMar>
              <w:top w:w="80" w:type="dxa"/>
              <w:bottom w:w="80" w:type="dxa"/>
              <w:left w:w="100" w:type="dxa"/>
              <w:right w:w="100" w:type="dxa"/>
            </w:tcMar>
          </w:tcPr>
          <w:p>
            <w:r>
              <w:rPr>
                <w:color w:val="1E293B"/>
                <w:sz w:val="19"/>
              </w:rPr>
              <w:t>Conformément aux normes de l'agence et au RGPD, toutes les métadonnées privées superflues (liens d'avatars, flags privés, IDs techniques internes) ont été définitivement purgées du classeur client. Rien n'est masqué, rien n'est récupérable.</w:t>
            </w:r>
          </w:p>
        </w:tc>
      </w:tr>
      <w:tr>
        <w:tc>
          <w:tcPr>
            <w:tcW w:type="dxa" w:w="4896"/>
            <w:shd w:fill="F8FAFC"/>
            <w:tcMar>
              <w:top w:w="80" w:type="dxa"/>
              <w:bottom w:w="80" w:type="dxa"/>
              <w:left w:w="100" w:type="dxa"/>
              <w:right w:w="100" w:type="dxa"/>
            </w:tcMar>
          </w:tcPr>
          <w:p>
            <w:r>
              <w:rPr>
                <w:b/>
                <w:color w:val="0F172A"/>
                <w:sz w:val="18"/>
              </w:rPr>
              <w:t>Clôture percutante</w:t>
            </w:r>
          </w:p>
        </w:tc>
        <w:tc>
          <w:tcPr>
            <w:tcW w:type="dxa" w:w="4896"/>
            <w:tcMar>
              <w:top w:w="80" w:type="dxa"/>
              <w:bottom w:w="80" w:type="dxa"/>
              <w:left w:w="100" w:type="dxa"/>
              <w:right w:w="100" w:type="dxa"/>
            </w:tcMar>
          </w:tcPr>
          <w:p>
            <w:r>
              <w:rPr>
                <w:color w:val="1E293B"/>
                <w:sz w:val="19"/>
              </w:rPr>
              <w:t>Le classeur est 100 % autonome, sans macro, immédiatement lisible sur Mac et PC. Il donne des réponses, pas des devoirs à chercher. Es-tu prêt à le valider pour envoi au client ?</w:t>
            </w:r>
          </w:p>
        </w:tc>
      </w:tr>
    </w:tbl>
    <w:p/>
    <w:p>
      <w:pPr>
        <w:pStyle w:val="Heading1"/>
      </w:pPr>
      <w:r>
        <w:rPr>
          <w:color w:val="0F172A"/>
          <w:sz w:val="28"/>
        </w:rPr>
        <w:t>II. GLOSSAIRE DÉTAILLÉ DES CALCULS &amp; FORMULES APPLIQUÉES</w:t>
      </w:r>
    </w:p>
    <w:p>
      <w:pPr>
        <w:spacing w:line="276" w:lineRule="auto"/>
      </w:pPr>
      <w:r>
        <w:rPr>
          <w:b/>
          <w:color w:val="B45309"/>
          <w:sz w:val="20"/>
        </w:rPr>
        <w:t>📐 Taux d'Engagement par Vue (ER_Views)</w:t>
        <w:br/>
      </w:r>
      <w:r>
        <w:rPr>
          <w:color w:val="1E293B"/>
          <w:sz w:val="18"/>
        </w:rPr>
        <w:t>Formule Mathématique : ER = (Likes + Commentaires + Partages) / Vues * 100</w:t>
        <w:br/>
        <w:t>Formule Excel (Onglet Clean Data) : =L5/H5</w:t>
        <w:br/>
        <w:t>Rationnel Business : C'est le vrai baromètre de qualité sur TikTok. Le nombre de vues brutes est poussé par l'algorithme, mais le like, le commentaire et le partage exigent une action délibérée de l'internaute.</w:t>
        <w:br/>
      </w:r>
    </w:p>
    <w:p>
      <w:pPr>
        <w:spacing w:line="276" w:lineRule="auto"/>
      </w:pPr>
      <w:r>
        <w:rPr>
          <w:b/>
          <w:color w:val="B45309"/>
          <w:sz w:val="20"/>
        </w:rPr>
        <w:t>📐 Multiplicateur de Viralité (Viral Multiplier)</w:t>
        <w:br/>
      </w:r>
      <w:r>
        <w:rPr>
          <w:color w:val="1E293B"/>
          <w:sz w:val="18"/>
        </w:rPr>
        <w:t>Formule Mathématique : Multiplicateur = Vues / Followers</w:t>
        <w:br/>
        <w:t>Formule Excel (Onglet Clean Data) : =H5/F5</w:t>
        <w:br/>
        <w:t>Rationnel Business : Mesure la surperformance organique d'un créateur au-delà de sa communauté captive. Un multiplicateur de 106,9x signifie que la vidéo a été vue 107 fois plus que la base d'abonnés du compte.</w:t>
        <w:br/>
      </w:r>
    </w:p>
    <w:p>
      <w:pPr>
        <w:spacing w:line="276" w:lineRule="auto"/>
      </w:pPr>
      <w:r>
        <w:rPr>
          <w:b/>
          <w:color w:val="B45309"/>
          <w:sz w:val="20"/>
        </w:rPr>
        <w:t>📐 Coût pour 1 000 Vues (CPM Estimé)</w:t>
        <w:br/>
      </w:r>
      <w:r>
        <w:rPr>
          <w:color w:val="1E293B"/>
          <w:sz w:val="18"/>
        </w:rPr>
        <w:t>Formule Mathématique : CPM = (Budget Alloué / Vues Totales Estimées) * 1 000</w:t>
        <w:br/>
        <w:t>Rationnel Business : Permet de comparer l'efficacité financière des deux scénarios. Le scénario Data-Driven affiche un CPM de 0,84 € contre 1,81 € pour le scénario classique, prouvant une rentabilité plus de deux fois supérieure.</w:t>
        <w:br/>
      </w:r>
    </w:p>
    <w:p>
      <w:pPr>
        <w:spacing w:line="276" w:lineRule="auto"/>
      </w:pPr>
      <w:r>
        <w:rPr>
          <w:b/>
          <w:color w:val="B45309"/>
          <w:sz w:val="20"/>
        </w:rPr>
        <w:t>📐 Part de Voix par Catégorie (%)</w:t>
        <w:br/>
      </w:r>
      <w:r>
        <w:rPr>
          <w:color w:val="1E293B"/>
          <w:sz w:val="18"/>
        </w:rPr>
        <w:t>Formule Mathématique : Part = Vues Cumulées Catégorie / Total Vues Globales (6,79 Mds) * 100</w:t>
        <w:br/>
        <w:t>Rationnel Business : Démontre la domination thématique de l'Humour (57 %) et des Animaux (22 %) sur la plateforme.</w:t>
        <w:br/>
      </w:r>
    </w:p>
    <w:p>
      <w:pPr>
        <w:spacing w:line="276" w:lineRule="auto"/>
      </w:pPr>
      <w:r>
        <w:rPr>
          <w:b/>
          <w:color w:val="B45309"/>
          <w:sz w:val="20"/>
        </w:rPr>
        <w:t>📐 Moyenne Pondérée du Taux d'Engagement (Panier)</w:t>
        <w:br/>
      </w:r>
      <w:r>
        <w:rPr>
          <w:color w:val="1E293B"/>
          <w:sz w:val="18"/>
        </w:rPr>
        <w:t>Formule Mathématique : ER_Pondéré = Somme(Vues_Segment * ER_Segment) / Vues_Totales_Campagne</w:t>
        <w:br/>
        <w:t>Rationnel Business : Évite le biais de la moyenne simple en pondérant l'engagement par le volume réel d'impressions délivré par chaque créateur.</w:t>
        <w:br/>
      </w:r>
    </w:p>
    <w:p/>
    <w:p>
      <w:pPr>
        <w:pStyle w:val="Heading1"/>
      </w:pPr>
      <w:r>
        <w:rPr>
          <w:color w:val="0F172A"/>
          <w:sz w:val="28"/>
        </w:rPr>
        <w:t>III. QUESTIONS PIÈGES DU MANAGER &amp; RÉPONSES DATA IRRÉFUTABLES</w:t>
      </w:r>
    </w:p>
    <w:p>
      <w:pPr>
        <w:spacing w:line="276" w:lineRule="auto"/>
      </w:pPr>
      <w:r>
        <w:rPr>
          <w:b/>
          <w:color w:val="0F172A"/>
          <w:sz w:val="20"/>
        </w:rPr>
        <w:t>❓ Question 1 : 'Pourquoi avoir écarté certains fichiers CSV de l'agence ?'</w:t>
        <w:br/>
      </w:r>
      <w:r>
        <w:rPr>
          <w:color w:val="1E293B"/>
          <w:sz w:val="19"/>
        </w:rPr>
        <w:t>💡 Réponse argumentée : « En tant que Data Analyst, mon premier devoir est de filtrer les biais méthodologiques. 'tiktok_collected_videos' ne contient que les vidéos du compte corporate officiel de TikTok (auto-promotion de la plateforme, non représentatif de créateurs indépendants). 'tiktok_collected_liked_videos' est une curation manuelle subjective d'un community manager. Enfin, 'trending_videos' et 'trending_authors' ne contenaient pas la variable déterminante des abonnés par profil. Seul 'tiktok_funny_hashtag_videos' croisait simultanément les abonnés, les interactions, les vues et les leviers créatifs. »</w:t>
        <w:br/>
      </w:r>
    </w:p>
    <w:p>
      <w:pPr>
        <w:spacing w:line="276" w:lineRule="auto"/>
      </w:pPr>
      <w:r>
        <w:rPr>
          <w:b/>
          <w:color w:val="0F172A"/>
          <w:sz w:val="20"/>
        </w:rPr>
        <w:t>❓ Question 2 : 'Ces données datent de 2021, ne sont-elles pas obsolètes aujourd'hui ?'</w:t>
        <w:br/>
      </w:r>
      <w:r>
        <w:rPr>
          <w:color w:val="1E293B"/>
          <w:sz w:val="19"/>
        </w:rPr>
        <w:t>💡 Réponse argumentée : « C'est une excellente question, et nous l'avons documentée dans les limites de l'étude (onglet 1). Deux éléments de réponse : premièrement, les mécaniques fondamentales d'attribution algorithmique de TikTok n'ont pas changé : le taux de complétion sur les 15 premières secondes et la viralité par les sons originaux restent les deux moteurs clés. Deuxièmement, la seule évolution majeure depuis 2021 est l'émergence des formats éducatifs plus longs (&gt;1 min), que nous conseillons de tester dans un second temps après avoir sécurisé le reach sur les formats courts. »</w:t>
        <w:br/>
      </w:r>
    </w:p>
    <w:p>
      <w:pPr>
        <w:spacing w:line="276" w:lineRule="auto"/>
      </w:pPr>
      <w:r>
        <w:rPr>
          <w:b/>
          <w:color w:val="0F172A"/>
          <w:sz w:val="20"/>
        </w:rPr>
        <w:t>❓ Question 3 : 'Les méga-influenceurs ont quand même des millions d'abonnés garantis, pourquoi ne pas tout miser sur eux ?'</w:t>
        <w:br/>
      </w:r>
      <w:r>
        <w:rPr>
          <w:color w:val="1E293B"/>
          <w:sz w:val="19"/>
        </w:rPr>
        <w:t>💡 Réponse argumentée : « Parce que sur TikTok, l'abonné n'est pas captif comme sur Instagram ou YouTube. Le flux principal est le flux 'Pour Toi' (For You Page), pas le flux abonnés. La preuve par les chiffres : les Mega comptes ont un multiplicateur de seulement 6,1x contre 106,9x pour les Micro-comptes. En clair, une audience de Mega compte est souvent saturée et sous-performante en engagement relatif. Mettre 100 000 € sur un seul profil fait peser un risque algorithmique énorme sur la campagne, alors qu'un panier de 14 créateurs diversifie le risque et double l'engagement. »</w:t>
        <w:br/>
      </w:r>
    </w:p>
    <w:p>
      <w:pPr>
        <w:spacing w:line="276" w:lineRule="auto"/>
      </w:pPr>
      <w:r>
        <w:rPr>
          <w:b/>
          <w:color w:val="0F172A"/>
          <w:sz w:val="20"/>
        </w:rPr>
        <w:t>❓ Question 4 : 'Pourquoi n'y a-t-il pas de vidéos à 0 vue dans votre analyse ?'</w:t>
        <w:br/>
      </w:r>
      <w:r>
        <w:rPr>
          <w:color w:val="1E293B"/>
          <w:sz w:val="19"/>
        </w:rPr>
        <w:t>💡 Réponse argumentée : « C'est le biais de surface inhérent aux scrapers publics, explicitement consigné dans l'Executive Summary. Les extractions captent les contenus que TikTok décide de propulser en tendance ou sous les hashtags populaires. Notre travail n'est pas de modéliser les vidéos qui ne décollent jamais, mais de comprendre ce qui sépare les contenus qui percent de ceux qui percent exceptionnellement bien. »</w:t>
        <w:br/>
      </w:r>
    </w:p>
    <w:p>
      <w:pPr>
        <w:spacing w:line="276" w:lineRule="auto"/>
      </w:pPr>
      <w:r>
        <w:rPr>
          <w:b/>
          <w:color w:val="0F172A"/>
          <w:sz w:val="20"/>
        </w:rPr>
        <w:t>❓ Question 5 : 'Le client va nous demander le taux de conversion en ventes, que peut-on lui promettre ?'</w:t>
        <w:br/>
      </w:r>
      <w:r>
        <w:rPr>
          <w:color w:val="1E293B"/>
          <w:sz w:val="19"/>
        </w:rPr>
        <w:t>💡 Réponse argumentée : « La rigueur data nous impose de ne pas inventer ce que le crawl ne contient pas. Notre jeu de données mesure la notoriété (vues) et l'engagement qualitatif (partages, commentaires). Le taux d'engagement élevé des Micro-créateurs (19,4 %) est le meilleur proxy prédictif d'intention d'achat, mais la conversion finale dépendra de la pertinence de l'offre produit et de la page de destination de la marque. »</w:t>
        <w:br/>
      </w:r>
    </w:p>
    <w:p>
      <w:pPr>
        <w:spacing w:line="276" w:lineRule="auto"/>
      </w:pPr>
      <w:r>
        <w:rPr>
          <w:b/>
          <w:color w:val="0F172A"/>
          <w:sz w:val="20"/>
        </w:rPr>
        <w:t>❓ Question 6 : 'Pourquoi les fichiers CSV bruts ne sont-ils pas dans le livrable client ?'</w:t>
        <w:br/>
      </w:r>
      <w:r>
        <w:rPr>
          <w:color w:val="1E293B"/>
          <w:sz w:val="19"/>
        </w:rPr>
        <w:t>💡 Réponse argumentée : « Par respect strict du RGPD et du secret d'agence. Les fichiers bruts contenaient des identifiants scrapés, des photos de profils, des liens directs et des flags de statut qui n'ont aucune valeur pour le client et posent un risque de conformité légale. Le classeur livré est 100 % autonome, typé et anonymisé. »</w:t>
        <w:b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